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A06A1">
      <w:pPr>
        <w:spacing w:line="560" w:lineRule="exact"/>
        <w:rPr>
          <w:rFonts w:hint="default" w:ascii="仿宋_GB2312" w:eastAsia="仿宋_GB2312"/>
          <w:color w:val="auto"/>
          <w:spacing w:val="8"/>
          <w:sz w:val="32"/>
          <w:szCs w:val="32"/>
          <w:lang w:val="en-US" w:eastAsia="zh-CN"/>
        </w:rPr>
      </w:pPr>
    </w:p>
    <w:p w14:paraId="350D96D0">
      <w:pPr>
        <w:spacing w:line="560" w:lineRule="exact"/>
        <w:jc w:val="center"/>
        <w:rPr>
          <w:rFonts w:hint="eastAsia" w:ascii="方正小标宋简体" w:eastAsia="方正小标宋简体"/>
          <w:color w:val="auto"/>
          <w:spacing w:val="8"/>
          <w:sz w:val="44"/>
          <w:szCs w:val="44"/>
        </w:rPr>
      </w:pPr>
      <w:r>
        <w:rPr>
          <w:rFonts w:hint="eastAsia" w:ascii="方正小标宋简体" w:eastAsia="方正小标宋简体"/>
          <w:color w:val="auto"/>
          <w:spacing w:val="8"/>
          <w:sz w:val="44"/>
          <w:szCs w:val="44"/>
          <w:lang w:eastAsia="zh-CN"/>
        </w:rPr>
        <w:t>友谊县民政局</w:t>
      </w:r>
      <w:r>
        <w:rPr>
          <w:rFonts w:hint="eastAsia" w:ascii="方正小标宋简体" w:eastAsia="方正小标宋简体"/>
          <w:color w:val="auto"/>
          <w:spacing w:val="8"/>
          <w:sz w:val="44"/>
          <w:szCs w:val="44"/>
        </w:rPr>
        <w:t>党组织关于巡察整改</w:t>
      </w:r>
    </w:p>
    <w:p w14:paraId="7B2951CB">
      <w:pPr>
        <w:spacing w:line="560" w:lineRule="exact"/>
        <w:jc w:val="center"/>
        <w:rPr>
          <w:rFonts w:hint="eastAsia" w:ascii="方正小标宋简体" w:eastAsia="方正小标宋简体"/>
          <w:color w:val="auto"/>
          <w:spacing w:val="8"/>
          <w:sz w:val="44"/>
          <w:szCs w:val="44"/>
        </w:rPr>
      </w:pPr>
      <w:r>
        <w:rPr>
          <w:rFonts w:hint="eastAsia" w:ascii="方正小标宋简体" w:eastAsia="方正小标宋简体"/>
          <w:color w:val="auto"/>
          <w:spacing w:val="8"/>
          <w:sz w:val="44"/>
          <w:szCs w:val="44"/>
        </w:rPr>
        <w:t>进展情况的报告</w:t>
      </w:r>
    </w:p>
    <w:p w14:paraId="57B55B61">
      <w:pPr>
        <w:spacing w:line="560" w:lineRule="exact"/>
        <w:jc w:val="center"/>
        <w:rPr>
          <w:rFonts w:hint="eastAsia" w:ascii="方正小标宋简体" w:eastAsia="方正小标宋简体"/>
          <w:color w:val="auto"/>
          <w:spacing w:val="8"/>
          <w:sz w:val="44"/>
          <w:szCs w:val="44"/>
        </w:rPr>
      </w:pPr>
      <w:bookmarkStart w:id="0" w:name="_GoBack"/>
      <w:bookmarkEnd w:id="0"/>
    </w:p>
    <w:p w14:paraId="0BB2B66A">
      <w:pPr>
        <w:spacing w:line="560" w:lineRule="exact"/>
        <w:rPr>
          <w:rFonts w:hint="eastAsia" w:ascii="仿宋_GB2312" w:eastAsia="仿宋_GB2312"/>
          <w:color w:val="auto"/>
          <w:spacing w:val="8"/>
          <w:sz w:val="32"/>
          <w:szCs w:val="32"/>
        </w:rPr>
      </w:pPr>
      <w:r>
        <w:rPr>
          <w:rFonts w:hint="eastAsia" w:ascii="仿宋_GB2312" w:eastAsia="仿宋_GB2312"/>
          <w:color w:val="auto"/>
          <w:spacing w:val="8"/>
          <w:sz w:val="32"/>
          <w:szCs w:val="32"/>
        </w:rPr>
        <w:t>县委巡察工作领导小组：</w:t>
      </w:r>
    </w:p>
    <w:p w14:paraId="4759F472">
      <w:pPr>
        <w:spacing w:line="560" w:lineRule="exact"/>
        <w:ind w:firstLine="705"/>
        <w:rPr>
          <w:rFonts w:hint="eastAsia" w:ascii="仿宋_GB2312" w:eastAsia="仿宋_GB2312"/>
          <w:color w:val="auto"/>
          <w:spacing w:val="8"/>
          <w:sz w:val="32"/>
          <w:szCs w:val="32"/>
        </w:rPr>
      </w:pPr>
      <w:r>
        <w:rPr>
          <w:rFonts w:hint="eastAsia" w:ascii="仿宋_GB2312" w:eastAsia="仿宋_GB2312"/>
          <w:color w:val="auto"/>
          <w:spacing w:val="8"/>
          <w:sz w:val="32"/>
          <w:szCs w:val="32"/>
        </w:rPr>
        <w:t>根据县委统一部署，</w:t>
      </w:r>
      <w:r>
        <w:rPr>
          <w:rFonts w:hint="eastAsia" w:ascii="仿宋_GB2312" w:hAnsi="仿宋" w:eastAsia="仿宋_GB2312"/>
          <w:color w:val="auto"/>
          <w:sz w:val="32"/>
          <w:szCs w:val="32"/>
          <w:lang w:val="en-US" w:eastAsia="zh-CN"/>
        </w:rPr>
        <w:t>2025</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5</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19</w:t>
      </w:r>
      <w:r>
        <w:rPr>
          <w:rFonts w:hint="eastAsia" w:ascii="仿宋_GB2312" w:hAnsi="仿宋" w:eastAsia="仿宋_GB2312"/>
          <w:color w:val="auto"/>
          <w:sz w:val="32"/>
          <w:szCs w:val="32"/>
        </w:rPr>
        <w:t>日至</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14</w:t>
      </w:r>
      <w:r>
        <w:rPr>
          <w:rFonts w:hint="eastAsia" w:ascii="仿宋_GB2312" w:hAnsi="仿宋" w:eastAsia="仿宋_GB2312"/>
          <w:color w:val="auto"/>
          <w:sz w:val="32"/>
          <w:szCs w:val="32"/>
        </w:rPr>
        <w:t>日，县委第</w:t>
      </w:r>
      <w:r>
        <w:rPr>
          <w:rFonts w:hint="eastAsia" w:ascii="仿宋_GB2312" w:hAnsi="仿宋" w:eastAsia="仿宋_GB2312"/>
          <w:color w:val="auto"/>
          <w:sz w:val="32"/>
          <w:szCs w:val="32"/>
          <w:lang w:eastAsia="zh-CN"/>
        </w:rPr>
        <w:t>七</w:t>
      </w:r>
      <w:r>
        <w:rPr>
          <w:rFonts w:hint="eastAsia" w:ascii="仿宋_GB2312" w:hAnsi="仿宋" w:eastAsia="仿宋_GB2312"/>
          <w:color w:val="auto"/>
          <w:sz w:val="32"/>
          <w:szCs w:val="32"/>
        </w:rPr>
        <w:t>巡察组对我单位进行了巡察。</w:t>
      </w:r>
      <w:r>
        <w:rPr>
          <w:rFonts w:hint="eastAsia" w:ascii="仿宋_GB2312" w:hAnsi="仿宋" w:eastAsia="仿宋_GB2312"/>
          <w:color w:val="auto"/>
          <w:sz w:val="32"/>
          <w:szCs w:val="32"/>
          <w:lang w:val="en-US" w:eastAsia="zh-CN"/>
        </w:rPr>
        <w:t>8</w:t>
      </w:r>
      <w:r>
        <w:rPr>
          <w:rFonts w:hint="eastAsia" w:ascii="仿宋_GB2312" w:eastAsia="仿宋_GB2312"/>
          <w:color w:val="auto"/>
          <w:spacing w:val="8"/>
          <w:sz w:val="32"/>
          <w:szCs w:val="32"/>
        </w:rPr>
        <w:t>月</w:t>
      </w:r>
      <w:r>
        <w:rPr>
          <w:rFonts w:hint="eastAsia" w:ascii="仿宋_GB2312" w:eastAsia="仿宋_GB2312"/>
          <w:color w:val="auto"/>
          <w:spacing w:val="8"/>
          <w:sz w:val="32"/>
          <w:szCs w:val="32"/>
          <w:lang w:val="en-US" w:eastAsia="zh-CN"/>
        </w:rPr>
        <w:t>4</w:t>
      </w:r>
      <w:r>
        <w:rPr>
          <w:rFonts w:hint="eastAsia" w:ascii="仿宋_GB2312" w:eastAsia="仿宋_GB2312"/>
          <w:color w:val="auto"/>
          <w:spacing w:val="8"/>
          <w:sz w:val="32"/>
          <w:szCs w:val="32"/>
        </w:rPr>
        <w:t>日，巡察组向</w:t>
      </w:r>
      <w:r>
        <w:rPr>
          <w:rFonts w:hint="eastAsia" w:ascii="仿宋_GB2312" w:eastAsia="仿宋_GB2312"/>
          <w:color w:val="auto"/>
          <w:spacing w:val="8"/>
          <w:sz w:val="32"/>
          <w:szCs w:val="32"/>
          <w:lang w:eastAsia="zh-CN"/>
        </w:rPr>
        <w:t>友谊县民政局</w:t>
      </w:r>
      <w:r>
        <w:rPr>
          <w:rFonts w:hint="eastAsia" w:ascii="仿宋_GB2312" w:eastAsia="仿宋_GB2312"/>
          <w:color w:val="auto"/>
          <w:spacing w:val="8"/>
          <w:sz w:val="32"/>
          <w:szCs w:val="32"/>
        </w:rPr>
        <w:t>党组织反馈了巡察意见。根据有关规定和要求，现将巡察整改进展情况报告如下：</w:t>
      </w:r>
    </w:p>
    <w:p w14:paraId="37519945">
      <w:pPr>
        <w:numPr>
          <w:ilvl w:val="0"/>
          <w:numId w:val="1"/>
        </w:numPr>
        <w:spacing w:line="560" w:lineRule="exact"/>
        <w:rPr>
          <w:rFonts w:hint="eastAsia" w:ascii="黑体" w:hAnsi="黑体" w:eastAsia="黑体"/>
          <w:color w:val="auto"/>
          <w:spacing w:val="8"/>
          <w:sz w:val="32"/>
          <w:szCs w:val="32"/>
        </w:rPr>
      </w:pPr>
      <w:r>
        <w:rPr>
          <w:rFonts w:hint="eastAsia" w:ascii="黑体" w:hAnsi="黑体" w:eastAsia="黑体"/>
          <w:color w:val="auto"/>
          <w:spacing w:val="8"/>
          <w:sz w:val="32"/>
          <w:szCs w:val="32"/>
        </w:rPr>
        <w:t>整改工作组织情况</w:t>
      </w:r>
    </w:p>
    <w:p w14:paraId="595648E8">
      <w:pPr>
        <w:spacing w:line="560" w:lineRule="exact"/>
        <w:ind w:firstLine="672" w:firstLineChars="200"/>
        <w:rPr>
          <w:rFonts w:hint="eastAsia" w:ascii="仿宋_GB2312" w:eastAsia="仿宋_GB2312"/>
          <w:color w:val="auto"/>
          <w:spacing w:val="8"/>
          <w:sz w:val="32"/>
          <w:szCs w:val="32"/>
        </w:rPr>
      </w:pPr>
      <w:r>
        <w:rPr>
          <w:rFonts w:hint="eastAsia" w:ascii="仿宋_GB2312" w:eastAsia="仿宋_GB2312"/>
          <w:color w:val="auto"/>
          <w:spacing w:val="8"/>
          <w:sz w:val="32"/>
          <w:szCs w:val="32"/>
        </w:rPr>
        <w:t>概述巡察反馈意见中指出的问题；党组织履行巡察整改主体责任，加强组织领导、统筹协调，全面开展整改工作等情况。</w:t>
      </w:r>
    </w:p>
    <w:p w14:paraId="7D03D92B">
      <w:pPr>
        <w:spacing w:line="560" w:lineRule="exact"/>
        <w:ind w:firstLine="672" w:firstLineChars="200"/>
        <w:rPr>
          <w:rFonts w:hint="eastAsia" w:ascii="黑体" w:hAnsi="黑体" w:eastAsia="黑体"/>
          <w:color w:val="auto"/>
          <w:spacing w:val="8"/>
          <w:sz w:val="32"/>
          <w:szCs w:val="32"/>
        </w:rPr>
      </w:pPr>
      <w:r>
        <w:rPr>
          <w:rFonts w:hint="eastAsia" w:ascii="黑体" w:hAnsi="黑体" w:eastAsia="黑体"/>
          <w:color w:val="auto"/>
          <w:spacing w:val="8"/>
          <w:sz w:val="32"/>
          <w:szCs w:val="32"/>
        </w:rPr>
        <w:t>二、整改落实情况</w:t>
      </w:r>
    </w:p>
    <w:p w14:paraId="1A3FAD13">
      <w:pPr>
        <w:spacing w:line="560" w:lineRule="exact"/>
        <w:ind w:firstLine="705"/>
        <w:rPr>
          <w:rFonts w:hint="default" w:ascii="楷体_GB2312" w:eastAsia="楷体_GB2312"/>
          <w:color w:val="auto"/>
          <w:spacing w:val="8"/>
          <w:sz w:val="32"/>
          <w:szCs w:val="32"/>
          <w:lang w:val="en-US" w:eastAsia="zh-CN"/>
        </w:rPr>
      </w:pPr>
      <w:r>
        <w:rPr>
          <w:rFonts w:hint="eastAsia" w:ascii="楷体_GB2312" w:eastAsia="楷体_GB2312"/>
          <w:color w:val="auto"/>
          <w:spacing w:val="8"/>
          <w:sz w:val="32"/>
          <w:szCs w:val="32"/>
        </w:rPr>
        <w:t>（一）已整改完成的问题</w:t>
      </w:r>
    </w:p>
    <w:p w14:paraId="66741456">
      <w:pPr>
        <w:spacing w:line="560" w:lineRule="exact"/>
        <w:ind w:firstLine="705"/>
        <w:rPr>
          <w:rFonts w:hint="eastAsia" w:ascii="仿宋_GB2312" w:eastAsia="仿宋_GB2312"/>
          <w:color w:val="auto"/>
          <w:spacing w:val="8"/>
          <w:sz w:val="32"/>
          <w:szCs w:val="32"/>
        </w:rPr>
      </w:pPr>
      <w:r>
        <w:rPr>
          <w:rFonts w:hint="eastAsia" w:ascii="仿宋_GB2312" w:eastAsia="仿宋_GB2312"/>
          <w:color w:val="auto"/>
          <w:spacing w:val="8"/>
          <w:sz w:val="32"/>
          <w:szCs w:val="32"/>
        </w:rPr>
        <w:t>针对巡察反馈意见指出的需要整改的问题，真改实改，已整改完成。</w:t>
      </w:r>
    </w:p>
    <w:p w14:paraId="2EF20846">
      <w:pPr>
        <w:numPr>
          <w:ilvl w:val="0"/>
          <w:numId w:val="0"/>
        </w:numPr>
        <w:spacing w:line="560" w:lineRule="exact"/>
        <w:ind w:firstLine="672" w:firstLineChars="200"/>
        <w:rPr>
          <w:rFonts w:hint="default" w:ascii="仿宋_GB2312" w:eastAsia="仿宋_GB2312"/>
          <w:color w:val="auto"/>
          <w:spacing w:val="8"/>
          <w:sz w:val="32"/>
          <w:szCs w:val="32"/>
          <w:lang w:val="en-US" w:eastAsia="zh-CN"/>
        </w:rPr>
      </w:pPr>
      <w:r>
        <w:rPr>
          <w:rFonts w:hint="eastAsia" w:ascii="仿宋_GB2312" w:eastAsia="仿宋_GB2312"/>
          <w:color w:val="auto"/>
          <w:spacing w:val="8"/>
          <w:sz w:val="32"/>
          <w:szCs w:val="32"/>
          <w:lang w:val="en-US" w:eastAsia="zh-CN"/>
        </w:rPr>
        <w:t>1.关于养老资金发放监管缺位，政策落地存在短板的问题。从严开展社保基金核查整改工作，重新核算虚报冒领社保基金问题，联动公安部门调取关联信息，精准督促当事人主动退缴违规资金。严格落实部省市三级疑点数据“及时清零”机制，对一次性补缴业务疑点数据实行“一疑一策”精准核查，并对查否疑点常态化开展“回头看”，杜绝虚假清零、问题反弹，切实筑牢社保基金安全防线。该问题已整改完成。</w:t>
      </w:r>
    </w:p>
    <w:p w14:paraId="0D3FE633">
      <w:pPr>
        <w:numPr>
          <w:ilvl w:val="0"/>
          <w:numId w:val="0"/>
        </w:numPr>
        <w:spacing w:line="560" w:lineRule="exact"/>
        <w:ind w:firstLine="672" w:firstLineChars="200"/>
        <w:rPr>
          <w:rFonts w:hint="eastAsia" w:ascii="仿宋_GB2312" w:eastAsia="仿宋_GB2312"/>
          <w:color w:val="auto"/>
          <w:spacing w:val="8"/>
          <w:sz w:val="32"/>
          <w:szCs w:val="32"/>
          <w:lang w:val="en-US" w:eastAsia="zh-CN"/>
        </w:rPr>
      </w:pPr>
      <w:r>
        <w:rPr>
          <w:rFonts w:hint="eastAsia" w:ascii="仿宋_GB2312" w:eastAsia="仿宋_GB2312"/>
          <w:color w:val="auto"/>
          <w:spacing w:val="8"/>
          <w:sz w:val="32"/>
          <w:szCs w:val="32"/>
          <w:lang w:val="en-US" w:eastAsia="zh-CN"/>
        </w:rPr>
        <w:t>2.关于民办养老机构补贴资金审核形同虚设的问题。由社会福利股牵头，对7家养老服务机构违规领取运营补贴问题开展核查，完成全部8300元违规资金追缴，对相关责任人进行批评教育。定期开展数据核查，从源头杜绝此类问题发生，该问题已整改完成。</w:t>
      </w:r>
    </w:p>
    <w:p w14:paraId="0DE42D4F">
      <w:pPr>
        <w:spacing w:line="560" w:lineRule="exact"/>
        <w:ind w:firstLine="720"/>
        <w:rPr>
          <w:rFonts w:hint="eastAsia" w:ascii="仿宋_GB2312" w:eastAsia="仿宋_GB2312"/>
          <w:color w:val="auto"/>
          <w:spacing w:val="8"/>
          <w:sz w:val="32"/>
          <w:szCs w:val="32"/>
          <w:lang w:val="en-US" w:eastAsia="zh-CN"/>
        </w:rPr>
      </w:pPr>
      <w:r>
        <w:rPr>
          <w:rFonts w:hint="eastAsia" w:ascii="仿宋_GB2312" w:eastAsia="仿宋_GB2312"/>
          <w:color w:val="auto"/>
          <w:spacing w:val="8"/>
          <w:sz w:val="32"/>
          <w:szCs w:val="32"/>
          <w:lang w:val="en-US" w:eastAsia="zh-CN"/>
        </w:rPr>
        <w:t>3.关于高龄补贴发放管理存在漏洞的问题。制定《友谊县高龄津贴发放管理办法》等4项高龄津贴相关制度，规范业务流程、监督检查等工作；组织开展乡镇工作人员业务培训，统一高龄补贴发放标准，明确补发情形与流程，加强每月发放前核查，解决了发放标准不统一、业务流程不规范问题，该问题已整改完成。</w:t>
      </w:r>
    </w:p>
    <w:p w14:paraId="67E652D2">
      <w:pPr>
        <w:spacing w:line="560" w:lineRule="exact"/>
        <w:ind w:firstLine="720"/>
        <w:rPr>
          <w:rFonts w:hint="eastAsia" w:ascii="仿宋_GB2312" w:eastAsia="仿宋_GB2312"/>
          <w:color w:val="auto"/>
          <w:spacing w:val="8"/>
          <w:sz w:val="32"/>
          <w:szCs w:val="32"/>
          <w:lang w:val="en-US" w:eastAsia="zh-CN"/>
        </w:rPr>
      </w:pPr>
      <w:r>
        <w:rPr>
          <w:rFonts w:hint="eastAsia" w:ascii="仿宋_GB2312" w:eastAsia="仿宋_GB2312"/>
          <w:color w:val="auto"/>
          <w:spacing w:val="8"/>
          <w:sz w:val="32"/>
          <w:szCs w:val="32"/>
          <w:lang w:val="en-US" w:eastAsia="zh-CN"/>
        </w:rPr>
        <w:t>4.关于贫困失能老年人补贴政策落实打折扣的问题。补充失能老年人补贴发放明细；成立县级老年人生活自理能力评审委员会，对享受补贴人员开展全面核查并完善相关档案；开展重复发放资金追缴工作，成功追回5100元违规资金，强化各业务股室信息共享，实时同步补贴发放信息，杜绝政策执行偏差，该问题已整改完成。</w:t>
      </w:r>
    </w:p>
    <w:p w14:paraId="59B433DC">
      <w:pPr>
        <w:spacing w:line="560" w:lineRule="exact"/>
        <w:ind w:firstLine="720"/>
        <w:rPr>
          <w:rFonts w:hint="eastAsia" w:ascii="仿宋_GB2312" w:eastAsia="仿宋_GB2312"/>
          <w:color w:val="auto"/>
          <w:spacing w:val="8"/>
          <w:sz w:val="32"/>
          <w:szCs w:val="32"/>
          <w:lang w:val="en-US" w:eastAsia="zh-CN"/>
        </w:rPr>
      </w:pPr>
      <w:r>
        <w:rPr>
          <w:rFonts w:hint="eastAsia" w:ascii="仿宋_GB2312" w:eastAsia="仿宋_GB2312"/>
          <w:color w:val="auto"/>
          <w:spacing w:val="8"/>
          <w:sz w:val="32"/>
          <w:szCs w:val="32"/>
          <w:lang w:val="en-US" w:eastAsia="zh-CN"/>
        </w:rPr>
        <w:t>5.关于推动落实养老服务机构优惠政策不到位的问题。制定《关于友谊县养老机构用水用电用气用热执行居民价格有关事项的通知》，明确养老机构用水、用电、用热、燃气等优惠标准，及时告知各养老机构，目前辖区内养老机构均已按要求享受相关优惠政策，该问题已整改完成。</w:t>
      </w:r>
    </w:p>
    <w:p w14:paraId="642DA7FC">
      <w:pPr>
        <w:spacing w:line="560" w:lineRule="exact"/>
        <w:ind w:firstLine="720"/>
        <w:rPr>
          <w:rFonts w:hint="eastAsia" w:ascii="仿宋_GB2312" w:eastAsia="仿宋_GB2312"/>
          <w:color w:val="auto"/>
          <w:spacing w:val="8"/>
          <w:sz w:val="32"/>
          <w:szCs w:val="32"/>
          <w:lang w:val="en-US" w:eastAsia="zh-CN"/>
        </w:rPr>
      </w:pPr>
      <w:r>
        <w:rPr>
          <w:rFonts w:hint="eastAsia" w:ascii="仿宋_GB2312" w:eastAsia="仿宋_GB2312"/>
          <w:color w:val="auto"/>
          <w:spacing w:val="8"/>
          <w:sz w:val="32"/>
          <w:szCs w:val="32"/>
          <w:lang w:val="en-US" w:eastAsia="zh-CN"/>
        </w:rPr>
        <w:t>6.关于养老服务基础工作不扎实的问题。对未备案的养老机构开展联合检查，发现存在消防审验手续缺失、工作人员无健康证等问题，下发整改通知单后机构未整改并完成注销；对等级评定程序进行追溯，已经过县级评定，不存在程序倒置情况，该问题已整改完成。</w:t>
      </w:r>
    </w:p>
    <w:p w14:paraId="6A7AFDAE">
      <w:pPr>
        <w:spacing w:line="560" w:lineRule="exact"/>
        <w:ind w:firstLine="720"/>
        <w:rPr>
          <w:rFonts w:hint="eastAsia" w:ascii="仿宋_GB2312" w:eastAsia="仿宋_GB2312"/>
          <w:color w:val="auto"/>
          <w:spacing w:val="8"/>
          <w:sz w:val="32"/>
          <w:szCs w:val="32"/>
          <w:lang w:val="en-US" w:eastAsia="zh-CN"/>
        </w:rPr>
      </w:pPr>
      <w:r>
        <w:rPr>
          <w:rFonts w:hint="eastAsia" w:ascii="仿宋_GB2312" w:eastAsia="仿宋_GB2312"/>
          <w:color w:val="auto"/>
          <w:spacing w:val="8"/>
          <w:sz w:val="32"/>
          <w:szCs w:val="32"/>
          <w:lang w:val="en-US" w:eastAsia="zh-CN"/>
        </w:rPr>
        <w:t>7.关于养老机构标准化服务水平不高的问题。新增护理床位216张，有效缓解失能半失能老人护理床位供需矛盾；对6家养老机构实施停业整顿，1家完成注销申请，整改护理员脱岗、老人“脱管”等问题；督促8家养老机构补齐健康档案、入院评估表，所有养老机构均设置意见箱并公示反馈电话，完善服务设施、提升服务质效，该问题已整改完成。</w:t>
      </w:r>
    </w:p>
    <w:p w14:paraId="7902586E">
      <w:pPr>
        <w:spacing w:line="560" w:lineRule="exact"/>
        <w:ind w:firstLine="720"/>
        <w:rPr>
          <w:rFonts w:hint="eastAsia" w:ascii="仿宋_GB2312" w:eastAsia="仿宋_GB2312"/>
          <w:color w:val="auto"/>
          <w:spacing w:val="8"/>
          <w:sz w:val="32"/>
          <w:szCs w:val="32"/>
          <w:lang w:val="en-US" w:eastAsia="zh-CN"/>
        </w:rPr>
      </w:pPr>
      <w:r>
        <w:rPr>
          <w:rFonts w:hint="eastAsia" w:ascii="仿宋_GB2312" w:eastAsia="仿宋_GB2312"/>
          <w:color w:val="auto"/>
          <w:spacing w:val="8"/>
          <w:sz w:val="32"/>
          <w:szCs w:val="32"/>
          <w:lang w:val="en-US" w:eastAsia="zh-CN"/>
        </w:rPr>
        <w:t>8.关于养老机构安全防线守得不牢的问题。消防救援大队已将养老机构录入消防监督系统，制定了执法人员培训计划，住建局对养老机构负责人约谈；制定《友谊县民政局养老服务机构应急管理制度》，建立日常巡查记录表并实行院长签字盖章确认，完善特殊群体入住排查项目；制定《友谊县养老机构安全培训规范》，明确实操培训时长要求，杜绝“以会代培”，完善培训记录并补充真实培训材料，该问题已整改完成。</w:t>
      </w:r>
    </w:p>
    <w:p w14:paraId="3D734B82">
      <w:pPr>
        <w:spacing w:line="560" w:lineRule="exact"/>
        <w:ind w:firstLine="720"/>
        <w:rPr>
          <w:rFonts w:hint="eastAsia" w:ascii="仿宋_GB2312" w:eastAsia="仿宋_GB2312"/>
          <w:color w:val="auto"/>
          <w:spacing w:val="8"/>
          <w:sz w:val="32"/>
          <w:szCs w:val="32"/>
          <w:lang w:val="en-US" w:eastAsia="zh-CN"/>
        </w:rPr>
      </w:pPr>
      <w:r>
        <w:rPr>
          <w:rFonts w:hint="eastAsia" w:ascii="仿宋_GB2312" w:eastAsia="仿宋_GB2312"/>
          <w:color w:val="auto"/>
          <w:spacing w:val="8"/>
          <w:sz w:val="32"/>
          <w:szCs w:val="32"/>
          <w:lang w:val="en-US" w:eastAsia="zh-CN"/>
        </w:rPr>
        <w:t>9.关于安全运营风险防控意识薄弱的问题。完成消防隐患整改，恢复消防主电、畅通消防通道，新增6名消防持证人员；辖区内养老机构工作人员全部办理健康证，补全食品留样记录，规范食品监管；对刀具等危险物品实行专人保管、登记取用，消防安全、食品监管、人身安全隐患均已整改到位，该问题已整改完成。</w:t>
      </w:r>
    </w:p>
    <w:p w14:paraId="53FCB364">
      <w:pPr>
        <w:spacing w:line="560" w:lineRule="exact"/>
        <w:ind w:firstLine="720"/>
        <w:rPr>
          <w:rFonts w:hint="eastAsia" w:ascii="仿宋_GB2312" w:eastAsia="仿宋_GB2312"/>
          <w:color w:val="auto"/>
          <w:spacing w:val="8"/>
          <w:sz w:val="32"/>
          <w:szCs w:val="32"/>
          <w:lang w:val="en-US" w:eastAsia="zh-CN"/>
        </w:rPr>
      </w:pPr>
      <w:r>
        <w:rPr>
          <w:rFonts w:hint="eastAsia" w:ascii="仿宋_GB2312" w:eastAsia="仿宋_GB2312"/>
          <w:color w:val="auto"/>
          <w:spacing w:val="8"/>
          <w:sz w:val="32"/>
          <w:szCs w:val="32"/>
          <w:lang w:val="en-US" w:eastAsia="zh-CN"/>
        </w:rPr>
        <w:t>10.关于民办非企业缺乏规范化管理的问题。建立民办非企业登记证书管理台账，强化动态监管并通知业务主管单位监督换证；完善登记备案缺失材料，对养老机构注销程序不规范问题进行整改，对丢失公章完成登报公示；召开专项沟通会解读《</w:t>
      </w:r>
      <w:r>
        <w:rPr>
          <w:rFonts w:hint="eastAsia" w:ascii="仿宋_GB2312" w:hAnsi="仿宋_GB2312" w:eastAsia="仿宋_GB2312" w:cs="仿宋_GB2312"/>
          <w:color w:val="auto"/>
          <w:sz w:val="32"/>
          <w:szCs w:val="32"/>
          <w:highlight w:val="none"/>
          <w:lang w:eastAsia="zh-CN"/>
        </w:rPr>
        <w:t>民间非营利组织会计制度</w:t>
      </w:r>
      <w:r>
        <w:rPr>
          <w:rFonts w:hint="eastAsia" w:ascii="仿宋_GB2312" w:eastAsia="仿宋_GB2312"/>
          <w:color w:val="auto"/>
          <w:spacing w:val="8"/>
          <w:sz w:val="32"/>
          <w:szCs w:val="32"/>
          <w:lang w:val="en-US" w:eastAsia="zh-CN"/>
        </w:rPr>
        <w:t>》，规范年检审核流程，确保年审材料真实合规，该问题已整改完成。</w:t>
      </w:r>
    </w:p>
    <w:p w14:paraId="25999355">
      <w:pPr>
        <w:spacing w:line="560" w:lineRule="exact"/>
        <w:ind w:firstLine="720"/>
        <w:rPr>
          <w:rFonts w:hint="eastAsia" w:ascii="仿宋_GB2312" w:eastAsia="仿宋_GB2312"/>
          <w:color w:val="auto"/>
          <w:spacing w:val="8"/>
          <w:sz w:val="32"/>
          <w:szCs w:val="32"/>
          <w:lang w:val="en-US" w:eastAsia="zh-CN"/>
        </w:rPr>
      </w:pPr>
      <w:r>
        <w:rPr>
          <w:rFonts w:hint="eastAsia" w:ascii="仿宋_GB2312" w:eastAsia="仿宋_GB2312"/>
          <w:color w:val="auto"/>
          <w:spacing w:val="8"/>
          <w:sz w:val="32"/>
          <w:szCs w:val="32"/>
          <w:lang w:val="en-US" w:eastAsia="zh-CN"/>
        </w:rPr>
        <w:t>11.</w:t>
      </w:r>
      <w:r>
        <w:rPr>
          <w:rFonts w:hint="eastAsia" w:ascii="仿宋_GB2312" w:eastAsia="仿宋_GB2312"/>
          <w:color w:val="auto"/>
          <w:spacing w:val="8"/>
          <w:sz w:val="32"/>
          <w:szCs w:val="32"/>
          <w:lang w:val="en-US" w:eastAsia="zh-CN"/>
        </w:rPr>
        <w:t>关于专业化人才队伍建设薄弱的问题。新增1名执法工作人员、5名股室工作人员，充实工作力量；为公办养老机构新增10名护理员，9名护理员取得专业证书，开展护理员专业培训，提升岗位吸引力，解决执法力量不足、工作人员短缺、专业人员流失问题，该问题已整改完成。</w:t>
      </w:r>
    </w:p>
    <w:p w14:paraId="59C11B0D">
      <w:pPr>
        <w:spacing w:line="560" w:lineRule="exact"/>
        <w:ind w:firstLine="720"/>
        <w:rPr>
          <w:rFonts w:hint="eastAsia" w:ascii="仿宋_GB2312" w:eastAsia="仿宋_GB2312"/>
          <w:color w:val="auto"/>
          <w:spacing w:val="8"/>
          <w:sz w:val="32"/>
          <w:szCs w:val="32"/>
          <w:lang w:val="en-US" w:eastAsia="zh-CN"/>
        </w:rPr>
      </w:pPr>
      <w:r>
        <w:rPr>
          <w:rFonts w:hint="eastAsia" w:ascii="仿宋_GB2312" w:eastAsia="仿宋_GB2312"/>
          <w:color w:val="auto"/>
          <w:spacing w:val="8"/>
          <w:sz w:val="32"/>
          <w:szCs w:val="32"/>
          <w:lang w:val="en-US" w:eastAsia="zh-CN"/>
        </w:rPr>
        <w:t>12.关于公办养老机构兜底保障示范作用未发挥的问题。补齐公办养老机构失能照护短板，新建特困供养中心，目前公办养老机构可正常收住失能半失能老人，配齐护理人员与床位，有效履行兜底保障职能，该问题已整改完成。</w:t>
      </w:r>
    </w:p>
    <w:p w14:paraId="1CEA9113">
      <w:pPr>
        <w:spacing w:line="560" w:lineRule="exact"/>
        <w:ind w:firstLine="720"/>
        <w:rPr>
          <w:rFonts w:hint="eastAsia" w:ascii="仿宋_GB2312" w:eastAsia="仿宋_GB2312"/>
          <w:color w:val="auto"/>
          <w:spacing w:val="8"/>
          <w:sz w:val="32"/>
          <w:szCs w:val="32"/>
          <w:lang w:val="en-US" w:eastAsia="zh-CN"/>
        </w:rPr>
      </w:pPr>
      <w:r>
        <w:rPr>
          <w:rFonts w:hint="eastAsia" w:ascii="仿宋_GB2312" w:eastAsia="仿宋_GB2312"/>
          <w:color w:val="auto"/>
          <w:spacing w:val="8"/>
          <w:sz w:val="32"/>
          <w:szCs w:val="32"/>
          <w:lang w:val="en-US" w:eastAsia="zh-CN"/>
        </w:rPr>
        <w:t>13.关于推进养老服务高质量发展有差距的问题。开展适老化设施专项排查，为养老机构增设扶手、修理按摩椅，对不合格机构停业整顿；督促养老机构整治环境卫生，建立清洁台账、下发整改通知书、畅通投诉热线，解决适老化改造不足、硬件设施不达标、居住环境堪忧问题，该问题已整改完成。</w:t>
      </w:r>
    </w:p>
    <w:p w14:paraId="08980F89">
      <w:pPr>
        <w:spacing w:line="560" w:lineRule="exact"/>
        <w:ind w:firstLine="720"/>
        <w:rPr>
          <w:rFonts w:hint="eastAsia" w:ascii="仿宋_GB2312" w:eastAsia="仿宋_GB2312"/>
          <w:color w:val="auto"/>
          <w:spacing w:val="8"/>
          <w:sz w:val="32"/>
          <w:szCs w:val="32"/>
          <w:lang w:val="en-US" w:eastAsia="zh-CN"/>
        </w:rPr>
      </w:pPr>
      <w:r>
        <w:rPr>
          <w:rFonts w:hint="eastAsia" w:ascii="仿宋_GB2312" w:eastAsia="仿宋_GB2312"/>
          <w:color w:val="auto"/>
          <w:spacing w:val="8"/>
          <w:sz w:val="32"/>
          <w:szCs w:val="32"/>
          <w:lang w:val="en-US" w:eastAsia="zh-CN"/>
        </w:rPr>
        <w:t>14.关于居家和社区养老工作浮于表面的问题。立即开放闲置设施，丰富活动，加快日间照料室规划建设，制定友谊县深化养老服务改革发展总体实施方案，规范适老化产品领取流程，建立产品库存台账，该问题已整改完成。</w:t>
      </w:r>
    </w:p>
    <w:p w14:paraId="49F38837">
      <w:pPr>
        <w:spacing w:line="560" w:lineRule="exact"/>
        <w:ind w:firstLine="720"/>
        <w:rPr>
          <w:rFonts w:hint="eastAsia" w:ascii="仿宋_GB2312" w:eastAsia="仿宋_GB2312"/>
          <w:color w:val="auto"/>
          <w:spacing w:val="8"/>
          <w:sz w:val="32"/>
          <w:szCs w:val="32"/>
          <w:lang w:val="en-US" w:eastAsia="zh-CN"/>
        </w:rPr>
      </w:pPr>
      <w:r>
        <w:rPr>
          <w:rFonts w:hint="eastAsia" w:ascii="仿宋_GB2312" w:eastAsia="仿宋_GB2312"/>
          <w:color w:val="auto"/>
          <w:spacing w:val="8"/>
          <w:sz w:val="32"/>
          <w:szCs w:val="32"/>
          <w:lang w:val="en-US" w:eastAsia="zh-CN"/>
        </w:rPr>
        <w:t>15.关于社会工作服务职能发挥不充分的问题。强化对社工站的监督管理，要求社工站制定季度工作计划和工作总结，协调基层民政做好民政领域服务工作，社工站已开展困难群体慰问、政策宣传等多项服务，服务质效显著提升，该问题已整改完成。</w:t>
      </w:r>
    </w:p>
    <w:p w14:paraId="20048B61">
      <w:pPr>
        <w:keepNext w:val="0"/>
        <w:keepLines w:val="0"/>
        <w:widowControl/>
        <w:suppressLineNumbers w:val="0"/>
        <w:ind w:firstLine="672" w:firstLineChars="200"/>
        <w:jc w:val="left"/>
        <w:rPr>
          <w:rFonts w:hint="default" w:ascii="仿宋_GB2312" w:eastAsia="仿宋_GB2312"/>
          <w:color w:val="auto"/>
          <w:spacing w:val="8"/>
          <w:sz w:val="32"/>
          <w:szCs w:val="32"/>
          <w:lang w:val="en-US" w:eastAsia="zh-CN"/>
        </w:rPr>
      </w:pPr>
      <w:r>
        <w:rPr>
          <w:rFonts w:hint="eastAsia" w:ascii="仿宋_GB2312" w:eastAsia="仿宋_GB2312"/>
          <w:color w:val="auto"/>
          <w:spacing w:val="8"/>
          <w:sz w:val="32"/>
          <w:szCs w:val="32"/>
          <w:lang w:val="en-US" w:eastAsia="zh-CN"/>
        </w:rPr>
        <w:t>16.关于医养结合协同服务不紧密的问题。扎实推进医养结合服务工作，推动辖区公办、民办养老机构全面与卫健部门、县人民医院签约，明确双方权责及监督考核标准。结合本地医疗服务能力细化合作协议条款，提升协议实操性，联动民政部门摸清养老机构底数，全力提升签约覆盖率，实现应签尽签。同时，严格落实老年人健康随访服务，由县人民医院每年开展两次常态化健康随访，动态跟踪老年人健康状况、优化慢病用药方案，并携带专业设备上门为养老机构行动不便老人提供体检服务，切实落地便民养老医疗服务，该问题已整改完成。</w:t>
      </w:r>
    </w:p>
    <w:p w14:paraId="32684FC9">
      <w:pPr>
        <w:spacing w:line="560" w:lineRule="exact"/>
        <w:ind w:firstLine="720"/>
        <w:rPr>
          <w:rFonts w:hint="eastAsia" w:ascii="仿宋_GB2312" w:eastAsia="仿宋_GB2312"/>
          <w:color w:val="auto"/>
          <w:spacing w:val="8"/>
          <w:sz w:val="32"/>
          <w:szCs w:val="32"/>
          <w:lang w:val="en-US" w:eastAsia="zh-CN"/>
        </w:rPr>
      </w:pPr>
      <w:r>
        <w:rPr>
          <w:rFonts w:hint="eastAsia" w:ascii="仿宋_GB2312" w:eastAsia="仿宋_GB2312"/>
          <w:color w:val="auto"/>
          <w:spacing w:val="8"/>
          <w:sz w:val="32"/>
          <w:szCs w:val="32"/>
          <w:lang w:val="en-US" w:eastAsia="zh-CN"/>
        </w:rPr>
        <w:t>17.关于公办养老机构执行收费依据不充分的问题。财政制度执行不严格的问题。主动对接发改部门，严格执行政府定价，该问题已整改完成。</w:t>
      </w:r>
    </w:p>
    <w:p w14:paraId="5208D355">
      <w:pPr>
        <w:keepNext w:val="0"/>
        <w:keepLines w:val="0"/>
        <w:widowControl/>
        <w:suppressLineNumbers w:val="0"/>
        <w:ind w:firstLine="672" w:firstLineChars="200"/>
        <w:jc w:val="left"/>
        <w:rPr>
          <w:rFonts w:hint="eastAsia" w:ascii="仿宋_GB2312" w:eastAsia="仿宋_GB2312"/>
          <w:color w:val="auto"/>
          <w:spacing w:val="8"/>
          <w:sz w:val="32"/>
          <w:szCs w:val="32"/>
          <w:lang w:val="en-US" w:eastAsia="zh-CN"/>
        </w:rPr>
      </w:pPr>
      <w:r>
        <w:rPr>
          <w:rFonts w:hint="eastAsia" w:ascii="仿宋_GB2312" w:eastAsia="仿宋_GB2312"/>
          <w:color w:val="auto"/>
          <w:spacing w:val="8"/>
          <w:sz w:val="32"/>
          <w:szCs w:val="32"/>
          <w:lang w:val="en-US" w:eastAsia="zh-CN"/>
        </w:rPr>
        <w:t>18.关于财政制度执行不严格的问题。抓实养老领域财务问题整改工作，完成社会福利养老护理中心浴室改造结余资金返还财政，严格落实专项资金专款专用、单独核算、闭环管理，杜绝资金挪用；规范采购报销流程，确保票据、事项、资金流向一致，严防虚开发票套取资金行为；强化资金管理，完善财务管理制度，常态化防范同类财务问题复发，该问题已整改完成。</w:t>
      </w:r>
    </w:p>
    <w:p w14:paraId="0543B1C0">
      <w:pPr>
        <w:spacing w:line="560" w:lineRule="exact"/>
        <w:ind w:firstLine="720"/>
        <w:rPr>
          <w:rFonts w:hint="eastAsia" w:ascii="黑体" w:hAnsi="黑体" w:eastAsia="黑体"/>
          <w:color w:val="auto"/>
          <w:spacing w:val="8"/>
          <w:sz w:val="32"/>
          <w:szCs w:val="32"/>
        </w:rPr>
      </w:pPr>
      <w:r>
        <w:rPr>
          <w:rFonts w:hint="eastAsia" w:ascii="黑体" w:hAnsi="黑体" w:eastAsia="黑体"/>
          <w:color w:val="auto"/>
          <w:spacing w:val="8"/>
          <w:sz w:val="32"/>
          <w:szCs w:val="32"/>
        </w:rPr>
        <w:t>三、下一步全面推进整改计划</w:t>
      </w:r>
    </w:p>
    <w:p w14:paraId="1FB988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楷体" w:hAnsi="楷体" w:eastAsia="楷体" w:cs="楷体"/>
          <w:color w:val="auto"/>
          <w:spacing w:val="0"/>
          <w:sz w:val="32"/>
          <w:szCs w:val="32"/>
          <w:lang w:val="en-US" w:eastAsia="zh-CN"/>
        </w:rPr>
      </w:pPr>
      <w:r>
        <w:rPr>
          <w:rFonts w:hint="eastAsia" w:ascii="楷体" w:hAnsi="楷体" w:eastAsia="楷体" w:cs="楷体"/>
          <w:color w:val="auto"/>
          <w:spacing w:val="0"/>
          <w:sz w:val="32"/>
          <w:szCs w:val="32"/>
          <w:lang w:val="en-US" w:eastAsia="zh-CN"/>
        </w:rPr>
        <w:t>（一）坚持久久为功，持续巩固整改成效</w:t>
      </w:r>
    </w:p>
    <w:p w14:paraId="521F60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县民政局党组将以本轮巡察整改工作为契机，始终保持政治定力，坚持问题导向不变、整改标准不降、工作力度不减，持续深入查找制度漏洞和管理短板，紧盯重点问题、关键环节，推动整改措施落地见效，确保各类问题真改实改、改出实效，坚决防止问题反弹回潮。</w:t>
      </w:r>
    </w:p>
    <w:p w14:paraId="4CB09F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pacing w:val="0"/>
          <w:sz w:val="32"/>
          <w:szCs w:val="32"/>
          <w:lang w:val="en-US" w:eastAsia="zh-CN"/>
        </w:rPr>
      </w:pPr>
      <w:r>
        <w:rPr>
          <w:rFonts w:hint="eastAsia" w:ascii="楷体" w:hAnsi="楷体" w:eastAsia="楷体" w:cs="楷体"/>
          <w:color w:val="auto"/>
          <w:spacing w:val="0"/>
          <w:sz w:val="32"/>
          <w:szCs w:val="32"/>
          <w:lang w:val="en-US" w:eastAsia="zh-CN"/>
        </w:rPr>
        <w:t>（二）注重源头治理，健全完善长效机制</w:t>
      </w:r>
    </w:p>
    <w:p w14:paraId="64407AF1">
      <w:pPr>
        <w:keepNext w:val="0"/>
        <w:keepLines w:val="0"/>
        <w:widowControl/>
        <w:suppressLineNumbers w:val="0"/>
        <w:ind w:firstLine="672" w:firstLineChars="200"/>
        <w:jc w:val="left"/>
        <w:rPr>
          <w:rFonts w:hint="eastAsia" w:ascii="仿宋_GB2312" w:eastAsia="仿宋_GB2312"/>
          <w:color w:val="auto"/>
          <w:spacing w:val="8"/>
          <w:sz w:val="32"/>
          <w:szCs w:val="32"/>
          <w:lang w:val="en-US" w:eastAsia="zh-CN"/>
        </w:rPr>
      </w:pPr>
      <w:r>
        <w:rPr>
          <w:rFonts w:hint="eastAsia" w:ascii="仿宋_GB2312" w:eastAsia="仿宋_GB2312"/>
          <w:color w:val="auto"/>
          <w:spacing w:val="8"/>
          <w:sz w:val="32"/>
          <w:szCs w:val="32"/>
          <w:lang w:val="en-US" w:eastAsia="zh-CN"/>
        </w:rPr>
        <w:t>聚焦突出问题整改与重点领域规范管理，压紧压实党组全面从严治党主体责任，强化班子履职担当，抓实“一岗双责”落地见效。以整改深挖问题根源，坚持点面结合、标本兼治，始终严标准、硬举措、浓氛围，紧盯重点岗位、关键环节，完善制度机制并刚性执行，推动整改从治标向治本纵深推进。常态化举一反三、健全长效监管，规范人员管理与资金拨付全流程，明晰岗位权责，持续巩固整改成效、防范问题回潮，全面提升特困人员集中供养规范化、精细化管理质效。</w:t>
      </w:r>
    </w:p>
    <w:p w14:paraId="288BD7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pacing w:val="0"/>
          <w:sz w:val="32"/>
          <w:szCs w:val="32"/>
          <w:lang w:val="en-US" w:eastAsia="zh-CN"/>
        </w:rPr>
      </w:pPr>
      <w:r>
        <w:rPr>
          <w:rFonts w:hint="eastAsia" w:ascii="楷体" w:hAnsi="楷体" w:eastAsia="楷体" w:cs="楷体"/>
          <w:color w:val="auto"/>
          <w:spacing w:val="0"/>
          <w:sz w:val="32"/>
          <w:szCs w:val="32"/>
          <w:lang w:val="en-US" w:eastAsia="zh-CN"/>
        </w:rPr>
        <w:t>（三）深化成果转化，推动民政事业高质量发展</w:t>
      </w:r>
    </w:p>
    <w:p w14:paraId="79E836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val="en-US" w:eastAsia="zh-CN"/>
        </w:rPr>
        <w:t>坚持把整改成效转化为推动工作的内生动力，将整改工作与贯彻习近平新时代中国特色社会主义思想相结合，持续强化干部队伍作风建设、政治建设、业务能力建设，积极营造风清气正良好政治生态，持续推进民政事业高质量发展。</w:t>
      </w:r>
    </w:p>
    <w:p w14:paraId="57D259E3">
      <w:pPr>
        <w:keepNext w:val="0"/>
        <w:keepLines w:val="0"/>
        <w:widowControl/>
        <w:suppressLineNumbers w:val="0"/>
        <w:ind w:firstLine="672" w:firstLineChars="200"/>
        <w:jc w:val="left"/>
        <w:rPr>
          <w:rFonts w:hint="eastAsia" w:ascii="仿宋_GB2312" w:eastAsia="仿宋_GB2312"/>
          <w:color w:val="auto"/>
          <w:spacing w:val="8"/>
          <w:sz w:val="32"/>
          <w:szCs w:val="32"/>
          <w:lang w:val="en-US" w:eastAsia="zh-CN"/>
        </w:rPr>
      </w:pPr>
    </w:p>
    <w:p w14:paraId="5009E56C">
      <w:pPr>
        <w:spacing w:line="560" w:lineRule="exact"/>
        <w:rPr>
          <w:rFonts w:hint="default" w:ascii="仿宋_GB2312" w:eastAsia="仿宋_GB2312"/>
          <w:color w:val="auto"/>
          <w:spacing w:val="8"/>
          <w:sz w:val="32"/>
          <w:szCs w:val="32"/>
          <w:lang w:val="en-US" w:eastAsia="zh-CN"/>
        </w:rPr>
      </w:pPr>
    </w:p>
    <w:p w14:paraId="2304C0C8">
      <w:pPr>
        <w:spacing w:line="560" w:lineRule="exact"/>
        <w:rPr>
          <w:rFonts w:hint="eastAsia" w:ascii="黑体" w:hAnsi="黑体" w:eastAsia="黑体"/>
          <w:color w:val="auto"/>
          <w:spacing w:val="8"/>
          <w:sz w:val="32"/>
          <w:szCs w:val="32"/>
        </w:rPr>
      </w:pPr>
    </w:p>
    <w:p w14:paraId="7F08B825">
      <w:pPr>
        <w:spacing w:line="560" w:lineRule="exact"/>
        <w:jc w:val="right"/>
        <w:rPr>
          <w:rFonts w:hint="eastAsia" w:ascii="黑体" w:hAnsi="黑体" w:eastAsia="黑体"/>
          <w:color w:val="auto"/>
          <w:spacing w:val="8"/>
          <w:sz w:val="32"/>
          <w:szCs w:val="32"/>
        </w:rPr>
      </w:pPr>
      <w:r>
        <w:rPr>
          <w:rFonts w:hint="eastAsia" w:ascii="黑体" w:hAnsi="黑体" w:eastAsia="黑体"/>
          <w:color w:val="auto"/>
          <w:spacing w:val="8"/>
          <w:sz w:val="32"/>
          <w:szCs w:val="32"/>
        </w:rPr>
        <w:t xml:space="preserve"> </w:t>
      </w:r>
    </w:p>
    <w:p w14:paraId="441D3A1E">
      <w:pPr>
        <w:spacing w:line="240" w:lineRule="auto"/>
        <w:ind w:right="0"/>
        <w:jc w:val="right"/>
        <w:rPr>
          <w:rFonts w:hint="eastAsia" w:ascii="仿宋_GB2312" w:hAnsi="黑体" w:eastAsia="仿宋_GB2312"/>
          <w:color w:val="auto"/>
          <w:spacing w:val="8"/>
          <w:sz w:val="32"/>
          <w:szCs w:val="32"/>
          <w:lang w:eastAsia="zh-CN"/>
        </w:rPr>
      </w:pPr>
      <w:r>
        <w:rPr>
          <w:rFonts w:hint="eastAsia" w:ascii="仿宋_GB2312" w:hAnsi="黑体" w:eastAsia="仿宋_GB2312"/>
          <w:color w:val="auto"/>
          <w:spacing w:val="8"/>
          <w:sz w:val="32"/>
          <w:szCs w:val="32"/>
          <w:lang w:eastAsia="zh-CN"/>
        </w:rPr>
        <w:t>友谊县民政局</w:t>
      </w:r>
      <w:r>
        <w:rPr>
          <w:rFonts w:hint="eastAsia" w:ascii="仿宋_GB2312" w:hAnsi="黑体" w:eastAsia="仿宋_GB2312"/>
          <w:color w:val="auto"/>
          <w:spacing w:val="8"/>
          <w:sz w:val="32"/>
          <w:szCs w:val="32"/>
        </w:rPr>
        <w:t>党</w:t>
      </w:r>
      <w:r>
        <w:rPr>
          <w:rFonts w:hint="eastAsia" w:ascii="仿宋_GB2312" w:hAnsi="黑体" w:eastAsia="仿宋_GB2312"/>
          <w:color w:val="auto"/>
          <w:spacing w:val="8"/>
          <w:sz w:val="32"/>
          <w:szCs w:val="32"/>
          <w:lang w:eastAsia="zh-CN"/>
        </w:rPr>
        <w:t>组</w:t>
      </w:r>
    </w:p>
    <w:p w14:paraId="6FD102C6">
      <w:pPr>
        <w:spacing w:line="240" w:lineRule="auto"/>
        <w:ind w:right="0"/>
        <w:jc w:val="right"/>
        <w:rPr>
          <w:rFonts w:ascii="仿宋_GB2312" w:hAnsi="黑体" w:eastAsia="仿宋_GB2312"/>
          <w:color w:val="auto"/>
          <w:spacing w:val="8"/>
          <w:sz w:val="32"/>
          <w:szCs w:val="32"/>
        </w:rPr>
      </w:pPr>
      <w:r>
        <w:rPr>
          <w:rFonts w:hint="eastAsia" w:ascii="仿宋_GB2312" w:hAnsi="黑体" w:eastAsia="仿宋_GB2312"/>
          <w:color w:val="auto"/>
          <w:spacing w:val="8"/>
          <w:sz w:val="32"/>
          <w:szCs w:val="32"/>
          <w:lang w:val="en-US" w:eastAsia="zh-CN"/>
        </w:rPr>
        <w:t>2026</w:t>
      </w:r>
      <w:r>
        <w:rPr>
          <w:rFonts w:hint="eastAsia" w:ascii="仿宋_GB2312" w:hAnsi="黑体" w:eastAsia="仿宋_GB2312"/>
          <w:color w:val="auto"/>
          <w:spacing w:val="8"/>
          <w:sz w:val="32"/>
          <w:szCs w:val="32"/>
        </w:rPr>
        <w:t>年</w:t>
      </w:r>
      <w:r>
        <w:rPr>
          <w:rFonts w:hint="eastAsia" w:ascii="仿宋_GB2312" w:hAnsi="黑体" w:eastAsia="仿宋_GB2312"/>
          <w:color w:val="auto"/>
          <w:spacing w:val="8"/>
          <w:sz w:val="32"/>
          <w:szCs w:val="32"/>
          <w:lang w:val="en-US" w:eastAsia="zh-CN"/>
        </w:rPr>
        <w:t>2</w:t>
      </w:r>
      <w:r>
        <w:rPr>
          <w:rFonts w:hint="eastAsia" w:ascii="仿宋_GB2312" w:hAnsi="黑体" w:eastAsia="仿宋_GB2312"/>
          <w:color w:val="auto"/>
          <w:spacing w:val="8"/>
          <w:sz w:val="32"/>
          <w:szCs w:val="32"/>
        </w:rPr>
        <w:t>月</w:t>
      </w:r>
      <w:r>
        <w:rPr>
          <w:rFonts w:hint="eastAsia" w:ascii="仿宋_GB2312" w:hAnsi="黑体" w:eastAsia="仿宋_GB2312"/>
          <w:color w:val="auto"/>
          <w:spacing w:val="8"/>
          <w:sz w:val="32"/>
          <w:szCs w:val="32"/>
          <w:lang w:val="en-US" w:eastAsia="zh-CN"/>
        </w:rPr>
        <w:t>28</w:t>
      </w:r>
      <w:r>
        <w:rPr>
          <w:rFonts w:hint="eastAsia" w:ascii="仿宋_GB2312" w:hAnsi="黑体" w:eastAsia="仿宋_GB2312"/>
          <w:color w:val="auto"/>
          <w:spacing w:val="8"/>
          <w:sz w:val="32"/>
          <w:szCs w:val="32"/>
        </w:rPr>
        <w:t xml:space="preserve">日 </w:t>
      </w:r>
    </w:p>
    <w:p w14:paraId="62D6D570">
      <w:pPr>
        <w:spacing w:line="560" w:lineRule="exact"/>
        <w:ind w:firstLine="5040" w:firstLineChars="1500"/>
        <w:rPr>
          <w:rFonts w:hint="eastAsia" w:ascii="仿宋_GB2312" w:hAnsi="黑体" w:eastAsia="仿宋_GB2312"/>
          <w:color w:val="auto"/>
          <w:spacing w:val="8"/>
          <w:sz w:val="32"/>
          <w:szCs w:val="32"/>
        </w:rPr>
      </w:pPr>
    </w:p>
    <w:p w14:paraId="375DE448">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1A046F"/>
    <w:multiLevelType w:val="multilevel"/>
    <w:tmpl w:val="771A046F"/>
    <w:lvl w:ilvl="0" w:tentative="0">
      <w:start w:val="1"/>
      <w:numFmt w:val="none"/>
      <w:lvlText w:val="一、"/>
      <w:lvlJc w:val="left"/>
      <w:pPr>
        <w:ind w:left="1320" w:hanging="720"/>
      </w:pPr>
      <w:rPr>
        <w:rFonts w:hint="default"/>
      </w:rPr>
    </w:lvl>
    <w:lvl w:ilvl="1" w:tentative="0">
      <w:start w:val="1"/>
      <w:numFmt w:val="decimal"/>
      <w:lvlText w:val="（%2）"/>
      <w:lvlJc w:val="left"/>
      <w:pPr>
        <w:tabs>
          <w:tab w:val="left" w:pos="2430"/>
        </w:tabs>
        <w:ind w:left="2430" w:hanging="1410"/>
      </w:pPr>
      <w:rPr>
        <w:rFonts w:hint="default"/>
      </w:r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BjOWU4MzU2MmEwZDhhZjk0NDFiNWM2MzE1NWE5NjEifQ=="/>
  </w:docVars>
  <w:rsids>
    <w:rsidRoot w:val="001E7E26"/>
    <w:rsid w:val="001E7E26"/>
    <w:rsid w:val="00576527"/>
    <w:rsid w:val="030E7154"/>
    <w:rsid w:val="17E551B2"/>
    <w:rsid w:val="1881137E"/>
    <w:rsid w:val="2291665A"/>
    <w:rsid w:val="2B2362C5"/>
    <w:rsid w:val="356078A2"/>
    <w:rsid w:val="3C1B7A94"/>
    <w:rsid w:val="3F6B771B"/>
    <w:rsid w:val="4B6E0D7A"/>
    <w:rsid w:val="556E6E69"/>
    <w:rsid w:val="632C76F8"/>
    <w:rsid w:val="666C0547"/>
    <w:rsid w:val="68D97223"/>
    <w:rsid w:val="6BE73BE6"/>
    <w:rsid w:val="74651CA6"/>
    <w:rsid w:val="76EFCFE0"/>
    <w:rsid w:val="7F8B421F"/>
    <w:rsid w:val="7FFFBA35"/>
    <w:rsid w:val="BFACDCCC"/>
    <w:rsid w:val="CDDD9AAA"/>
    <w:rsid w:val="DBEFDCB4"/>
    <w:rsid w:val="DF67A957"/>
    <w:rsid w:val="EBCE360D"/>
    <w:rsid w:val="F9F775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5">
    <w:name w:val="Strong"/>
    <w:basedOn w:val="4"/>
    <w:qFormat/>
    <w:uiPriority w:val="22"/>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3216</Words>
  <Characters>3261</Characters>
  <Lines>4</Lines>
  <Paragraphs>1</Paragraphs>
  <TotalTime>87</TotalTime>
  <ScaleCrop>false</ScaleCrop>
  <LinksUpToDate>false</LinksUpToDate>
  <CharactersWithSpaces>3263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2022-05-06T17:27:00Z</dcterms:created>
  <dc:creator>lenovo</dc:creator>
  <cp:lastModifiedBy>宝龙</cp:lastModifiedBy>
  <cp:lastPrinted>2026-07-15T16:00:00Z</cp:lastPrinted>
  <dcterms:modified xsi:type="dcterms:W3CDTF">2026-07-24T03:45:34Z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4406DDF0FC0B498B906ADF38AEF1C074_13</vt:lpwstr>
  </property>
  <property fmtid="{D5CDD505-2E9C-101B-9397-08002B2CF9AE}" pid="4" name="KSOTemplateDocerSaveRecord">
    <vt:lpwstr>eyJoZGlkIjoiN2FiNmU0YTMxMWFmNmVjMzE5ZTNmYzVlMTA4MmFkOTgiLCJ1c2VySWQiOiI0NDI3Mzg5NTUifQ==</vt:lpwstr>
  </property>
</Properties>
</file>