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C4D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right="0"/>
        <w:jc w:val="center"/>
        <w:rPr>
          <w:rFonts w:hint="eastAsia" w:ascii="方正小标宋简体" w:hAnsi="方正小标宋简体" w:eastAsia="方正小标宋简体" w:cs="方正小标宋简体"/>
          <w:b w:val="0"/>
          <w:bCs w:val="0"/>
          <w:i w:val="0"/>
          <w:iCs w:val="0"/>
          <w:caps w:val="0"/>
          <w:color w:val="333333"/>
          <w:spacing w:val="0"/>
          <w:sz w:val="44"/>
          <w:szCs w:val="44"/>
          <w:lang w:val="en-US" w:eastAsia="zh-CN"/>
        </w:rPr>
      </w:pPr>
      <w:r>
        <w:rPr>
          <w:rFonts w:hint="eastAsia" w:ascii="方正小标宋简体" w:hAnsi="方正小标宋简体" w:eastAsia="方正小标宋简体" w:cs="方正小标宋简体"/>
          <w:b w:val="0"/>
          <w:bCs w:val="0"/>
          <w:i w:val="0"/>
          <w:iCs w:val="0"/>
          <w:caps w:val="0"/>
          <w:color w:val="333333"/>
          <w:spacing w:val="0"/>
          <w:sz w:val="44"/>
          <w:szCs w:val="44"/>
          <w:lang w:eastAsia="zh-CN"/>
        </w:rPr>
        <w:t>友谊</w:t>
      </w:r>
      <w:r>
        <w:rPr>
          <w:rFonts w:hint="eastAsia" w:ascii="方正小标宋简体" w:hAnsi="方正小标宋简体" w:eastAsia="方正小标宋简体" w:cs="方正小标宋简体"/>
          <w:b w:val="0"/>
          <w:bCs w:val="0"/>
          <w:i w:val="0"/>
          <w:iCs w:val="0"/>
          <w:caps w:val="0"/>
          <w:color w:val="333333"/>
          <w:spacing w:val="0"/>
          <w:sz w:val="44"/>
          <w:szCs w:val="44"/>
        </w:rPr>
        <w:t>县2025年科学施肥增效项目实施方案</w:t>
      </w:r>
    </w:p>
    <w:p w14:paraId="428840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CESI仿宋-GB2312" w:hAnsi="CESI仿宋-GB2312" w:eastAsia="CESI仿宋-GB2312" w:cs="CESI仿宋-GB2312"/>
          <w:b w:val="0"/>
          <w:bCs w:val="0"/>
          <w:i w:val="0"/>
          <w:iCs w:val="0"/>
          <w:caps w:val="0"/>
          <w:color w:val="333333"/>
          <w:spacing w:val="0"/>
          <w:kern w:val="0"/>
          <w:sz w:val="32"/>
          <w:szCs w:val="32"/>
          <w:lang w:val="en-US" w:eastAsia="zh-CN" w:bidi="ar"/>
        </w:rPr>
      </w:pPr>
    </w:p>
    <w:p w14:paraId="0AB900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iCs w:val="0"/>
          <w:caps w:val="0"/>
          <w:snapToGrid w:val="0"/>
          <w:color w:val="333333"/>
          <w:spacing w:val="0"/>
          <w:kern w:val="0"/>
          <w:sz w:val="32"/>
          <w:szCs w:val="32"/>
          <w:lang w:val="en-US" w:eastAsia="zh-CN" w:bidi="ar"/>
        </w:rPr>
      </w:pPr>
      <w:r>
        <w:rPr>
          <w:rFonts w:hint="eastAsia" w:ascii="仿宋_GB2312" w:hAnsi="仿宋_GB2312" w:eastAsia="仿宋_GB2312" w:cs="仿宋_GB2312"/>
          <w:b w:val="0"/>
          <w:bCs w:val="0"/>
          <w:i w:val="0"/>
          <w:iCs w:val="0"/>
          <w:caps w:val="0"/>
          <w:snapToGrid w:val="0"/>
          <w:color w:val="333333"/>
          <w:spacing w:val="0"/>
          <w:kern w:val="0"/>
          <w:sz w:val="32"/>
          <w:szCs w:val="32"/>
          <w:lang w:val="en-US" w:eastAsia="zh-CN" w:bidi="ar"/>
        </w:rPr>
        <w:t>扎实推进科学施肥增效，对于保障国家粮食和重要农产品稳定安全供给、促进农业绿色高质量发展具有十分重要的意义。为加快施肥新技术、新产品、新机具“三新”技术模式集成创新和示范推广，促进粮油等主要作物大面积单产提升和农业绿色转型，按照《黑龙江省2025年科学施肥增效项目实施方案》（黑农厅函〔2025〕631号）要求，结合我县实际，制定本方案。</w:t>
      </w:r>
    </w:p>
    <w:p w14:paraId="3015F858">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黑体_GBK" w:hAnsi="方正黑体_GBK" w:eastAsia="方正黑体_GBK" w:cs="方正黑体_GBK"/>
          <w:b/>
          <w:bCs/>
          <w:i w:val="0"/>
          <w:iCs w:val="0"/>
          <w:caps w:val="0"/>
          <w:color w:val="333333"/>
          <w:spacing w:val="0"/>
          <w:kern w:val="0"/>
          <w:sz w:val="32"/>
          <w:szCs w:val="32"/>
          <w:lang w:val="en-US" w:eastAsia="zh-CN" w:bidi="ar"/>
        </w:rPr>
      </w:pPr>
      <w:r>
        <w:rPr>
          <w:rFonts w:hint="eastAsia" w:ascii="黑体" w:hAnsi="黑体" w:eastAsia="黑体" w:cs="黑体"/>
          <w:b w:val="0"/>
          <w:bCs w:val="0"/>
          <w:i w:val="0"/>
          <w:iCs w:val="0"/>
          <w:caps w:val="0"/>
          <w:color w:val="333333"/>
          <w:spacing w:val="0"/>
          <w:kern w:val="0"/>
          <w:sz w:val="32"/>
          <w:szCs w:val="32"/>
          <w:lang w:val="en-US" w:eastAsia="zh-CN" w:bidi="ar"/>
        </w:rPr>
        <w:t>总体要求</w:t>
      </w:r>
    </w:p>
    <w:p w14:paraId="2F970EF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0"/>
        <w:rPr>
          <w:rFonts w:hint="eastAsia" w:ascii="仿宋_GB2312" w:hAnsi="仿宋_GB2312" w:eastAsia="仿宋_GB2312" w:cs="仿宋_GB2312"/>
          <w:b w:val="0"/>
          <w:bCs w:val="0"/>
          <w:i w:val="0"/>
          <w:iCs w:val="0"/>
          <w:caps w:val="0"/>
          <w:snapToGrid w:val="0"/>
          <w:color w:val="333333"/>
          <w:spacing w:val="0"/>
          <w:kern w:val="0"/>
          <w:sz w:val="32"/>
          <w:szCs w:val="32"/>
          <w:lang w:val="en-US" w:eastAsia="zh-CN" w:bidi="ar"/>
        </w:rPr>
      </w:pPr>
      <w:r>
        <w:rPr>
          <w:rFonts w:hint="eastAsia" w:ascii="仿宋_GB2312" w:hAnsi="仿宋_GB2312" w:eastAsia="仿宋_GB2312" w:cs="仿宋_GB2312"/>
          <w:b w:val="0"/>
          <w:bCs w:val="0"/>
          <w:i w:val="0"/>
          <w:iCs w:val="0"/>
          <w:caps w:val="0"/>
          <w:snapToGrid w:val="0"/>
          <w:color w:val="333333"/>
          <w:spacing w:val="0"/>
          <w:kern w:val="0"/>
          <w:sz w:val="32"/>
          <w:szCs w:val="32"/>
          <w:lang w:val="en-US" w:eastAsia="zh-CN" w:bidi="ar"/>
        </w:rPr>
        <w:t>以服务支撑粮油等主要作物大面积单产提升为重点，强化政策支持和科技支撑，依托新型经营主体和社会化服务组织，大力推广测土配方施肥技术，持续推进科学施肥增效。开展测土配方施肥基础性工作，落实田间试验5个、农户施肥情况调查140户。</w:t>
      </w:r>
    </w:p>
    <w:p w14:paraId="13C9B66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left"/>
        <w:textAlignment w:val="auto"/>
        <w:outlineLvl w:val="0"/>
        <w:rPr>
          <w:rFonts w:hint="eastAsia" w:ascii="黑体" w:hAnsi="黑体" w:eastAsia="黑体" w:cs="黑体"/>
          <w:b w:val="0"/>
          <w:bCs w:val="0"/>
          <w:i w:val="0"/>
          <w:iCs w:val="0"/>
          <w:caps w:val="0"/>
          <w:color w:val="333333"/>
          <w:spacing w:val="0"/>
          <w:kern w:val="0"/>
          <w:sz w:val="32"/>
          <w:szCs w:val="32"/>
          <w:lang w:val="en-US" w:eastAsia="zh-CN" w:bidi="ar"/>
        </w:rPr>
      </w:pPr>
      <w:r>
        <w:rPr>
          <w:rFonts w:hint="eastAsia" w:ascii="黑体" w:hAnsi="黑体" w:eastAsia="黑体" w:cs="黑体"/>
          <w:b w:val="0"/>
          <w:bCs w:val="0"/>
          <w:i w:val="0"/>
          <w:iCs w:val="0"/>
          <w:caps w:val="0"/>
          <w:color w:val="333333"/>
          <w:spacing w:val="0"/>
          <w:kern w:val="0"/>
          <w:sz w:val="32"/>
          <w:szCs w:val="32"/>
          <w:lang w:val="en-US" w:eastAsia="zh-CN" w:bidi="ar"/>
        </w:rPr>
        <w:t>二、重点任务</w:t>
      </w:r>
    </w:p>
    <w:p w14:paraId="413A92BE">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i w:val="0"/>
          <w:iCs w:val="0"/>
          <w:caps w:val="0"/>
          <w:color w:val="333333"/>
          <w:spacing w:val="0"/>
          <w:kern w:val="0"/>
          <w:sz w:val="32"/>
          <w:szCs w:val="32"/>
          <w:lang w:val="en-US" w:eastAsia="zh-CN" w:bidi="ar"/>
        </w:rPr>
      </w:pPr>
      <w:r>
        <w:rPr>
          <w:rFonts w:hint="eastAsia" w:ascii="楷体_GB2312" w:hAnsi="楷体_GB2312" w:eastAsia="楷体_GB2312" w:cs="楷体_GB2312"/>
          <w:b w:val="0"/>
          <w:bCs w:val="0"/>
          <w:i w:val="0"/>
          <w:iCs w:val="0"/>
          <w:caps w:val="0"/>
          <w:color w:val="333333"/>
          <w:spacing w:val="0"/>
          <w:kern w:val="0"/>
          <w:sz w:val="32"/>
          <w:szCs w:val="32"/>
          <w:lang w:val="en-US" w:eastAsia="zh-CN" w:bidi="ar"/>
        </w:rPr>
        <w:t>巩固提升测土配方施肥。</w:t>
      </w:r>
      <w:r>
        <w:rPr>
          <w:rFonts w:hint="eastAsia" w:ascii="仿宋_GB2312" w:hAnsi="仿宋_GB2312" w:eastAsia="仿宋_GB2312" w:cs="仿宋_GB2312"/>
          <w:b w:val="0"/>
          <w:bCs w:val="0"/>
          <w:i w:val="0"/>
          <w:iCs w:val="0"/>
          <w:caps w:val="0"/>
          <w:color w:val="333333"/>
          <w:spacing w:val="0"/>
          <w:kern w:val="0"/>
          <w:sz w:val="32"/>
          <w:szCs w:val="32"/>
          <w:lang w:val="en-US" w:eastAsia="zh-CN" w:bidi="ar"/>
        </w:rPr>
        <w:t>做好化肥利用率测算工作。科学布设试验。综合考虑主要粮食作物面积及分布、种植制度、地力水平等因素，选取有代表性的田块，科学布设玉米、水稻化肥利用率田间试验，委托科研教学单位承担田间试验任务。汇总上报数据。加强肥料施用、田间管理、样品采集、测产分析等全环节技术指导和质量控制，保证田间试验质量。</w:t>
      </w:r>
    </w:p>
    <w:p w14:paraId="5089BF2F">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i w:val="0"/>
          <w:iCs w:val="0"/>
          <w:caps w:val="0"/>
          <w:color w:val="333333"/>
          <w:spacing w:val="0"/>
          <w:kern w:val="0"/>
          <w:sz w:val="32"/>
          <w:szCs w:val="32"/>
          <w:lang w:val="en-US" w:eastAsia="zh-CN" w:bidi="ar"/>
        </w:rPr>
      </w:pPr>
      <w:r>
        <w:rPr>
          <w:rFonts w:hint="eastAsia" w:ascii="楷体_GB2312" w:hAnsi="楷体_GB2312" w:eastAsia="楷体_GB2312" w:cs="楷体_GB2312"/>
          <w:b w:val="0"/>
          <w:bCs w:val="0"/>
          <w:i w:val="0"/>
          <w:iCs w:val="0"/>
          <w:caps w:val="0"/>
          <w:color w:val="333333"/>
          <w:spacing w:val="0"/>
          <w:kern w:val="0"/>
          <w:sz w:val="32"/>
          <w:szCs w:val="32"/>
          <w:lang w:val="en-US" w:eastAsia="zh-CN" w:bidi="ar"/>
        </w:rPr>
        <w:t>开展农户施肥情况调查。</w:t>
      </w:r>
      <w:r>
        <w:rPr>
          <w:rFonts w:hint="eastAsia" w:ascii="仿宋_GB2312" w:hAnsi="仿宋_GB2312" w:eastAsia="仿宋_GB2312" w:cs="仿宋_GB2312"/>
          <w:b w:val="0"/>
          <w:bCs w:val="0"/>
          <w:i w:val="0"/>
          <w:iCs w:val="0"/>
          <w:caps w:val="0"/>
          <w:color w:val="333333"/>
          <w:spacing w:val="0"/>
          <w:kern w:val="0"/>
          <w:sz w:val="32"/>
          <w:szCs w:val="32"/>
          <w:lang w:val="en-US" w:eastAsia="zh-CN" w:bidi="ar"/>
        </w:rPr>
        <w:t>综合考虑作物类型、种植制度、施肥主体等因素，以新型经营主体为主，兼顾小农户等种植主体、科学合理安排农户施肥情况调查点。创新数据采集方式，通过“肥情监测通”小程序，（二维码见附件2）各乡镇配合开展农户施肥情况和肥料使用效果监测结合全国肥料节水专业统计，分析施肥水平、施肥结构、施肥种类、施肥方式等情况，形成施肥专题报告。</w:t>
      </w:r>
    </w:p>
    <w:p w14:paraId="6CEF9791">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楷体_GB2312" w:hAnsi="楷体_GB2312" w:eastAsia="楷体_GB2312" w:cs="楷体_GB2312"/>
          <w:b w:val="0"/>
          <w:bCs w:val="0"/>
          <w:i w:val="0"/>
          <w:iCs w:val="0"/>
          <w:caps w:val="0"/>
          <w:color w:val="333333"/>
          <w:spacing w:val="0"/>
          <w:kern w:val="0"/>
          <w:sz w:val="32"/>
          <w:szCs w:val="32"/>
          <w:lang w:val="en-US" w:eastAsia="zh-CN" w:bidi="ar"/>
        </w:rPr>
        <w:t>推进智能化信息化施肥服务。</w:t>
      </w:r>
      <w:r>
        <w:rPr>
          <w:rFonts w:hint="eastAsia" w:ascii="仿宋_GB2312" w:hAnsi="仿宋_GB2312" w:eastAsia="仿宋_GB2312" w:cs="仿宋_GB2312"/>
          <w:b w:val="0"/>
          <w:bCs w:val="0"/>
          <w:i w:val="0"/>
          <w:iCs w:val="0"/>
          <w:caps w:val="0"/>
          <w:color w:val="333333"/>
          <w:spacing w:val="0"/>
          <w:kern w:val="0"/>
          <w:sz w:val="32"/>
          <w:szCs w:val="32"/>
          <w:lang w:val="en-US" w:eastAsia="zh-CN" w:bidi="ar"/>
        </w:rPr>
        <w:t>在备耕、春耕等关键农时，运用大数据分析手段，深入挖掘测土配方施肥数据，制定发布主要农作物科学施肥指导意见；推动应用智能化施肥推荐专家NE（二维码附后，详见附件3），发布信息化施肥意见。通过短视频、直播授课等灵活多样的形式，解读科学施肥技术要点和注意事项，推介典型模式，指导科学选肥用肥。</w:t>
      </w:r>
    </w:p>
    <w:p w14:paraId="1DD537C0">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i w:val="0"/>
          <w:iCs w:val="0"/>
          <w:caps w:val="0"/>
          <w:color w:val="333333"/>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强化科学施肥成效评价。全面总结测土配方施肥推广经验、应用成效，科学评估测土配方施肥对作物产量品质、土壤肥力、肥料利用率的贡献，提炼可复制可推广的典型案例。通过田间试验、农户施肥调查、肥料节水系统等数据。进一步加强肥料效应监测评价，结合“三新”集成模式推广应用，监测土壤养分、施肥效果、产</w:t>
      </w:r>
      <w:r>
        <w:rPr>
          <w:rFonts w:hint="eastAsia" w:ascii="仿宋_GB2312" w:hAnsi="仿宋_GB2312" w:eastAsia="仿宋_GB2312" w:cs="仿宋_GB2312"/>
          <w:b w:val="0"/>
          <w:bCs w:val="0"/>
          <w:i w:val="0"/>
          <w:iCs w:val="0"/>
          <w:caps w:val="0"/>
          <w:color w:val="333333"/>
          <w:spacing w:val="0"/>
          <w:kern w:val="0"/>
          <w:sz w:val="32"/>
          <w:szCs w:val="32"/>
          <w:lang w:val="en-US" w:eastAsia="zh-CN" w:bidi="ar"/>
        </w:rPr>
        <w:t>量水平变化，用可靠数据评价科学施肥效果。</w:t>
      </w:r>
    </w:p>
    <w:p w14:paraId="1FD51F47">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i w:val="0"/>
          <w:iCs w:val="0"/>
          <w:caps w:val="0"/>
          <w:color w:val="333333"/>
          <w:spacing w:val="0"/>
          <w:kern w:val="0"/>
          <w:sz w:val="32"/>
          <w:szCs w:val="32"/>
          <w:lang w:val="en-US" w:eastAsia="zh-CN" w:bidi="ar"/>
        </w:rPr>
      </w:pPr>
      <w:r>
        <w:rPr>
          <w:rFonts w:hint="eastAsia" w:ascii="楷体_GB2312" w:hAnsi="楷体_GB2312" w:eastAsia="楷体_GB2312" w:cs="楷体_GB2312"/>
          <w:b w:val="0"/>
          <w:bCs w:val="0"/>
          <w:i w:val="0"/>
          <w:iCs w:val="0"/>
          <w:caps w:val="0"/>
          <w:color w:val="333333"/>
          <w:spacing w:val="0"/>
          <w:kern w:val="0"/>
          <w:sz w:val="32"/>
          <w:szCs w:val="32"/>
          <w:lang w:val="en-US" w:eastAsia="zh-CN" w:bidi="ar"/>
        </w:rPr>
        <w:t>持续开展培训宣传。</w:t>
      </w:r>
      <w:r>
        <w:rPr>
          <w:rFonts w:hint="eastAsia" w:ascii="仿宋_GB2312" w:hAnsi="仿宋_GB2312" w:eastAsia="仿宋_GB2312" w:cs="仿宋_GB2312"/>
          <w:b w:val="0"/>
          <w:bCs w:val="0"/>
          <w:i w:val="0"/>
          <w:iCs w:val="0"/>
          <w:caps w:val="0"/>
          <w:color w:val="333333"/>
          <w:spacing w:val="0"/>
          <w:kern w:val="0"/>
          <w:sz w:val="32"/>
          <w:szCs w:val="32"/>
          <w:lang w:val="en-US" w:eastAsia="zh-CN" w:bidi="ar"/>
        </w:rPr>
        <w:t>强化推广、科研、教学、</w:t>
      </w:r>
      <w:bookmarkStart w:id="0" w:name="_GoBack"/>
      <w:r>
        <w:rPr>
          <w:rFonts w:hint="eastAsia" w:ascii="仿宋_GB2312" w:hAnsi="仿宋_GB2312" w:eastAsia="仿宋_GB2312" w:cs="仿宋_GB2312"/>
          <w:b w:val="0"/>
          <w:bCs w:val="0"/>
          <w:i w:val="0"/>
          <w:iCs w:val="0"/>
          <w:caps w:val="0"/>
          <w:color w:val="333333"/>
          <w:spacing w:val="0"/>
          <w:kern w:val="0"/>
          <w:sz w:val="32"/>
          <w:szCs w:val="32"/>
          <w:lang w:val="en-US" w:eastAsia="zh-CN" w:bidi="ar"/>
        </w:rPr>
        <w:t>协会、企业等力量联合协作，结合农业农村部组织的百县</w:t>
      </w:r>
      <w:bookmarkEnd w:id="0"/>
      <w:r>
        <w:rPr>
          <w:rFonts w:hint="eastAsia" w:ascii="仿宋_GB2312" w:hAnsi="仿宋_GB2312" w:eastAsia="仿宋_GB2312" w:cs="仿宋_GB2312"/>
          <w:b w:val="0"/>
          <w:bCs w:val="0"/>
          <w:i w:val="0"/>
          <w:iCs w:val="0"/>
          <w:caps w:val="0"/>
          <w:color w:val="333333"/>
          <w:spacing w:val="0"/>
          <w:kern w:val="0"/>
          <w:sz w:val="32"/>
          <w:szCs w:val="32"/>
          <w:lang w:val="en-US" w:eastAsia="zh-CN" w:bidi="ar"/>
        </w:rPr>
        <w:t>千乡万户科学施肥培训行动和百名专家联合县科学施肥指导行动，采取田间课堂、室内教学、视频直播、发放明白纸等形式深入开展科学施肥增效技术培训和指导服务。开展科学认识化肥作业主题宣传，总结科学施肥政策制度，科技创新、技术推广等方面的好做法好经验，挖掘推介一批典型案例，通过电视、广播、微信公众号等媒介宣传推广，营造良好舆论氛围。</w:t>
      </w:r>
    </w:p>
    <w:p w14:paraId="7970B6A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黑体" w:hAnsi="黑体" w:eastAsia="黑体" w:cs="黑体"/>
          <w:b w:val="0"/>
          <w:bCs w:val="0"/>
          <w:i w:val="0"/>
          <w:iCs w:val="0"/>
          <w:caps w:val="0"/>
          <w:color w:val="333333"/>
          <w:spacing w:val="0"/>
          <w:kern w:val="0"/>
          <w:sz w:val="32"/>
          <w:szCs w:val="32"/>
          <w:lang w:val="en-US" w:eastAsia="zh-CN" w:bidi="ar"/>
        </w:rPr>
      </w:pPr>
      <w:r>
        <w:rPr>
          <w:rFonts w:hint="eastAsia" w:ascii="黑体" w:hAnsi="黑体" w:eastAsia="黑体" w:cs="黑体"/>
          <w:b w:val="0"/>
          <w:bCs w:val="0"/>
          <w:i w:val="0"/>
          <w:iCs w:val="0"/>
          <w:caps w:val="0"/>
          <w:color w:val="333333"/>
          <w:spacing w:val="0"/>
          <w:kern w:val="0"/>
          <w:sz w:val="32"/>
          <w:szCs w:val="32"/>
          <w:lang w:val="en-US" w:eastAsia="zh-CN" w:bidi="ar"/>
        </w:rPr>
        <w:t>三、补助内容和标准</w:t>
      </w:r>
    </w:p>
    <w:p w14:paraId="31638A2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i w:val="0"/>
          <w:iCs w:val="0"/>
          <w:caps w:val="0"/>
          <w:color w:val="333333"/>
          <w:spacing w:val="0"/>
          <w:kern w:val="0"/>
          <w:sz w:val="32"/>
          <w:szCs w:val="32"/>
          <w:lang w:val="en-US" w:eastAsia="zh-CN" w:bidi="ar"/>
        </w:rPr>
      </w:pPr>
      <w:r>
        <w:rPr>
          <w:rFonts w:hint="eastAsia" w:ascii="楷体_GB2312" w:hAnsi="楷体_GB2312" w:eastAsia="楷体_GB2312" w:cs="楷体_GB2312"/>
          <w:b w:val="0"/>
          <w:bCs w:val="0"/>
          <w:i w:val="0"/>
          <w:iCs w:val="0"/>
          <w:caps w:val="0"/>
          <w:color w:val="333333"/>
          <w:spacing w:val="0"/>
          <w:kern w:val="0"/>
          <w:sz w:val="32"/>
          <w:szCs w:val="32"/>
          <w:lang w:val="en-US" w:eastAsia="zh-CN" w:bidi="ar"/>
        </w:rPr>
        <w:t>测土配方施肥基础工作。</w:t>
      </w:r>
      <w:r>
        <w:rPr>
          <w:rFonts w:hint="eastAsia" w:ascii="仿宋_GB2312" w:hAnsi="仿宋_GB2312" w:eastAsia="仿宋_GB2312" w:cs="仿宋_GB2312"/>
          <w:b w:val="0"/>
          <w:bCs w:val="0"/>
          <w:i w:val="0"/>
          <w:iCs w:val="0"/>
          <w:caps w:val="0"/>
          <w:color w:val="333333"/>
          <w:spacing w:val="0"/>
          <w:kern w:val="0"/>
          <w:sz w:val="32"/>
          <w:szCs w:val="32"/>
          <w:lang w:val="en-US" w:eastAsia="zh-CN" w:bidi="ar"/>
        </w:rPr>
        <w:t>项目资金主要用于田间试验、农户施肥情况调查、测土配方施肥技术推广、试验监测、数据分析应用、营养诊断、宣传培训等。新型肥料试验每个补贴4000元、配方校正试验每个补助4000元、施肥效应每个补贴8000元、化肥利用率每个补贴10000元。测土配方施肥数据分析和技术推广、农户施肥情况调查、宣传培训等，补助7.45万元。</w:t>
      </w:r>
    </w:p>
    <w:p w14:paraId="0A1C25D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i w:val="0"/>
          <w:iCs w:val="0"/>
          <w:caps w:val="0"/>
          <w:color w:val="333333"/>
          <w:spacing w:val="0"/>
          <w:kern w:val="0"/>
          <w:sz w:val="32"/>
          <w:szCs w:val="32"/>
          <w:lang w:val="en-US" w:eastAsia="zh-CN" w:bidi="ar"/>
        </w:rPr>
      </w:pPr>
      <w:r>
        <w:rPr>
          <w:rFonts w:hint="eastAsia" w:ascii="黑体" w:hAnsi="黑体" w:eastAsia="黑体" w:cs="黑体"/>
          <w:b w:val="0"/>
          <w:bCs w:val="0"/>
          <w:i w:val="0"/>
          <w:iCs w:val="0"/>
          <w:caps w:val="0"/>
          <w:color w:val="333333"/>
          <w:spacing w:val="0"/>
          <w:kern w:val="0"/>
          <w:sz w:val="32"/>
          <w:szCs w:val="32"/>
          <w:lang w:val="en-US" w:eastAsia="zh-CN" w:bidi="ar"/>
        </w:rPr>
        <w:t>四、保障措施</w:t>
      </w:r>
    </w:p>
    <w:p w14:paraId="7615CF3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i w:val="0"/>
          <w:iCs w:val="0"/>
          <w:caps w:val="0"/>
          <w:color w:val="333333"/>
          <w:spacing w:val="0"/>
          <w:kern w:val="0"/>
          <w:sz w:val="32"/>
          <w:szCs w:val="32"/>
          <w:lang w:val="en-US" w:eastAsia="zh-CN" w:bidi="ar"/>
        </w:rPr>
      </w:pPr>
      <w:r>
        <w:rPr>
          <w:rFonts w:hint="eastAsia" w:ascii="楷体_GB2312" w:hAnsi="楷体_GB2312" w:eastAsia="楷体_GB2312" w:cs="楷体_GB2312"/>
          <w:b w:val="0"/>
          <w:bCs w:val="0"/>
          <w:i w:val="0"/>
          <w:iCs w:val="0"/>
          <w:caps w:val="0"/>
          <w:color w:val="333333"/>
          <w:spacing w:val="0"/>
          <w:kern w:val="0"/>
          <w:sz w:val="32"/>
          <w:szCs w:val="32"/>
          <w:lang w:val="en-US" w:eastAsia="zh-CN" w:bidi="ar"/>
        </w:rPr>
        <w:t>加强组织领导。</w:t>
      </w:r>
      <w:r>
        <w:rPr>
          <w:rFonts w:hint="eastAsia" w:ascii="仿宋_GB2312" w:hAnsi="仿宋_GB2312" w:eastAsia="仿宋_GB2312" w:cs="仿宋_GB2312"/>
          <w:b w:val="0"/>
          <w:bCs w:val="0"/>
          <w:i w:val="0"/>
          <w:iCs w:val="0"/>
          <w:caps w:val="0"/>
          <w:color w:val="333333"/>
          <w:spacing w:val="0"/>
          <w:kern w:val="0"/>
          <w:sz w:val="32"/>
          <w:szCs w:val="32"/>
          <w:lang w:val="en-US" w:eastAsia="zh-CN" w:bidi="ar"/>
        </w:rPr>
        <w:t>要运用“四个体系”闭环管理，加强统筹协调，压实部门责任，强化政策公开和过程督导，建立责任明确、主动积极、多方参与、监管有效的工作机制，确保科学施肥增效工作落实落地见效。</w:t>
      </w:r>
    </w:p>
    <w:p w14:paraId="24E00B6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i w:val="0"/>
          <w:iCs w:val="0"/>
          <w:caps w:val="0"/>
          <w:color w:val="333333"/>
          <w:spacing w:val="0"/>
          <w:kern w:val="0"/>
          <w:sz w:val="32"/>
          <w:szCs w:val="32"/>
          <w:lang w:val="en-US" w:eastAsia="zh-CN" w:bidi="ar"/>
        </w:rPr>
      </w:pPr>
      <w:r>
        <w:rPr>
          <w:rFonts w:hint="eastAsia" w:ascii="楷体_GB2312" w:hAnsi="楷体_GB2312" w:eastAsia="楷体_GB2312" w:cs="楷体_GB2312"/>
          <w:b w:val="0"/>
          <w:bCs w:val="0"/>
          <w:i w:val="0"/>
          <w:iCs w:val="0"/>
          <w:caps w:val="0"/>
          <w:color w:val="333333"/>
          <w:spacing w:val="0"/>
          <w:kern w:val="0"/>
          <w:sz w:val="32"/>
          <w:szCs w:val="32"/>
          <w:lang w:val="en-US" w:eastAsia="zh-CN" w:bidi="ar"/>
        </w:rPr>
        <w:t>加强项目管理。</w:t>
      </w:r>
      <w:r>
        <w:rPr>
          <w:rFonts w:hint="eastAsia" w:ascii="仿宋_GB2312" w:hAnsi="仿宋_GB2312" w:eastAsia="仿宋_GB2312" w:cs="仿宋_GB2312"/>
          <w:b w:val="0"/>
          <w:bCs w:val="0"/>
          <w:i w:val="0"/>
          <w:iCs w:val="0"/>
          <w:caps w:val="0"/>
          <w:color w:val="333333"/>
          <w:spacing w:val="0"/>
          <w:kern w:val="0"/>
          <w:sz w:val="32"/>
          <w:szCs w:val="32"/>
          <w:lang w:val="en-US" w:eastAsia="zh-CN" w:bidi="ar"/>
        </w:rPr>
        <w:t>要建立健全项目管理机制，严格落实“一季度一调度”制度，及时调度、报送项目执行进度和实施成效。</w:t>
      </w:r>
    </w:p>
    <w:p w14:paraId="69D650C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i w:val="0"/>
          <w:iCs w:val="0"/>
          <w:caps w:val="0"/>
          <w:color w:val="333333"/>
          <w:spacing w:val="0"/>
          <w:kern w:val="0"/>
          <w:sz w:val="32"/>
          <w:szCs w:val="32"/>
          <w:lang w:val="en-US" w:eastAsia="zh-CN" w:bidi="ar"/>
        </w:rPr>
      </w:pPr>
      <w:r>
        <w:rPr>
          <w:rFonts w:hint="eastAsia" w:ascii="楷体_GB2312" w:hAnsi="楷体_GB2312" w:eastAsia="楷体_GB2312" w:cs="楷体_GB2312"/>
          <w:b w:val="0"/>
          <w:bCs w:val="0"/>
          <w:i w:val="0"/>
          <w:iCs w:val="0"/>
          <w:caps w:val="0"/>
          <w:color w:val="333333"/>
          <w:spacing w:val="0"/>
          <w:kern w:val="0"/>
          <w:sz w:val="32"/>
          <w:szCs w:val="32"/>
          <w:lang w:val="en-US" w:eastAsia="zh-CN" w:bidi="ar"/>
        </w:rPr>
        <w:t>加强资金监管。</w:t>
      </w:r>
      <w:r>
        <w:rPr>
          <w:rFonts w:hint="eastAsia" w:ascii="仿宋_GB2312" w:hAnsi="仿宋_GB2312" w:eastAsia="仿宋_GB2312" w:cs="仿宋_GB2312"/>
          <w:b w:val="0"/>
          <w:bCs w:val="0"/>
          <w:i w:val="0"/>
          <w:iCs w:val="0"/>
          <w:caps w:val="0"/>
          <w:color w:val="333333"/>
          <w:spacing w:val="0"/>
          <w:kern w:val="0"/>
          <w:sz w:val="32"/>
          <w:szCs w:val="32"/>
          <w:lang w:val="en-US" w:eastAsia="zh-CN" w:bidi="ar"/>
        </w:rPr>
        <w:t>要严格按照相关规定，落实项目资金使用管理责任，提高项目资金使用效益。要对项目质量成果和资金使用成效负责，对完成项目任务并通过核查验收的实施主体，按照标准及时给予补贴，并采取适当方式进行公示，及时在农业农村部转移支付管理平台填报进展情况。</w:t>
      </w:r>
    </w:p>
    <w:p w14:paraId="242C612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_GB2312" w:eastAsia="仿宋_GB2312" w:cs="仿宋_GB2312"/>
          <w:b w:val="0"/>
          <w:bCs w:val="0"/>
          <w:i w:val="0"/>
          <w:iCs w:val="0"/>
          <w:caps w:val="0"/>
          <w:color w:val="333333"/>
          <w:spacing w:val="0"/>
          <w:kern w:val="0"/>
          <w:sz w:val="32"/>
          <w:szCs w:val="32"/>
          <w:lang w:val="en-US" w:eastAsia="zh-CN" w:bidi="ar"/>
        </w:rPr>
      </w:pPr>
      <w:r>
        <w:rPr>
          <w:rFonts w:hint="eastAsia" w:ascii="楷体_GB2312" w:hAnsi="楷体_GB2312" w:eastAsia="楷体_GB2312" w:cs="楷体_GB2312"/>
          <w:b w:val="0"/>
          <w:bCs w:val="0"/>
          <w:i w:val="0"/>
          <w:iCs w:val="0"/>
          <w:caps w:val="0"/>
          <w:color w:val="333333"/>
          <w:spacing w:val="0"/>
          <w:kern w:val="0"/>
          <w:sz w:val="32"/>
          <w:szCs w:val="32"/>
          <w:lang w:val="en-US" w:eastAsia="zh-CN" w:bidi="ar"/>
        </w:rPr>
        <w:t>加强数据管理。</w:t>
      </w:r>
      <w:r>
        <w:rPr>
          <w:rFonts w:hint="eastAsia" w:ascii="仿宋_GB2312" w:hAnsi="仿宋_GB2312" w:eastAsia="仿宋_GB2312" w:cs="仿宋_GB2312"/>
          <w:b w:val="0"/>
          <w:bCs w:val="0"/>
          <w:i w:val="0"/>
          <w:iCs w:val="0"/>
          <w:caps w:val="0"/>
          <w:color w:val="333333"/>
          <w:spacing w:val="0"/>
          <w:kern w:val="0"/>
          <w:sz w:val="32"/>
          <w:szCs w:val="32"/>
          <w:lang w:val="en-US" w:eastAsia="zh-CN" w:bidi="ar"/>
        </w:rPr>
        <w:t>要及时填报土壤测试化验、田间试验示范、农户施肥调查等数据，加强数据逐级审核，重点审核数据的科学性、合理性。强化数据分析，充分利用大数据、人工智能等信息化手段，完善测土配方施肥数据库应用功能。严格落实国家安全有关要求，未经允许不得擅自将科学施肥相关数据提供给其他单位或个人。</w:t>
      </w:r>
    </w:p>
    <w:p w14:paraId="3682ECB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CESI仿宋-GB2312" w:hAnsi="CESI仿宋-GB2312" w:eastAsia="CESI仿宋-GB2312" w:cs="CESI仿宋-GB2312"/>
          <w:b/>
          <w:bCs/>
          <w:i w:val="0"/>
          <w:iCs w:val="0"/>
          <w:caps w:val="0"/>
          <w:color w:val="333333"/>
          <w:spacing w:val="0"/>
          <w:kern w:val="0"/>
          <w:sz w:val="32"/>
          <w:szCs w:val="32"/>
          <w:lang w:val="en-US" w:eastAsia="zh-CN" w:bidi="ar"/>
        </w:rPr>
      </w:pPr>
    </w:p>
    <w:p w14:paraId="04573693">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CESI仿宋-GB2312" w:hAnsi="CESI仿宋-GB2312" w:eastAsia="CESI仿宋-GB2312" w:cs="CESI仿宋-GB2312"/>
          <w:i w:val="0"/>
          <w:iCs w:val="0"/>
          <w:caps w:val="0"/>
          <w:color w:val="333333"/>
          <w:spacing w:val="0"/>
          <w:kern w:val="0"/>
          <w:sz w:val="32"/>
          <w:szCs w:val="32"/>
          <w:lang w:val="en-US" w:eastAsia="zh-CN" w:bidi="ar"/>
        </w:rPr>
      </w:pPr>
    </w:p>
    <w:p w14:paraId="5303EF6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r>
        <w:rPr>
          <w:rFonts w:hint="eastAsia" w:ascii="仿宋_GB2312" w:hAnsi="仿宋_GB2312" w:eastAsia="仿宋_GB2312" w:cs="仿宋_GB2312"/>
          <w:i w:val="0"/>
          <w:iCs w:val="0"/>
          <w:caps w:val="0"/>
          <w:color w:val="333333"/>
          <w:spacing w:val="0"/>
          <w:kern w:val="0"/>
          <w:sz w:val="32"/>
          <w:szCs w:val="32"/>
          <w:lang w:val="en-US" w:eastAsia="zh-CN" w:bidi="ar"/>
        </w:rPr>
        <w:t>附件：1.2025年友谊县科学施肥增效任务安排表</w:t>
      </w:r>
    </w:p>
    <w:p w14:paraId="270B2E5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1600" w:firstLineChars="500"/>
        <w:jc w:val="left"/>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r>
        <w:rPr>
          <w:rFonts w:hint="eastAsia" w:ascii="仿宋_GB2312" w:hAnsi="仿宋_GB2312" w:eastAsia="仿宋_GB2312" w:cs="仿宋_GB2312"/>
          <w:i w:val="0"/>
          <w:iCs w:val="0"/>
          <w:caps w:val="0"/>
          <w:color w:val="333333"/>
          <w:spacing w:val="0"/>
          <w:kern w:val="0"/>
          <w:sz w:val="32"/>
          <w:szCs w:val="32"/>
          <w:lang w:val="en-US" w:eastAsia="zh-CN" w:bidi="ar"/>
        </w:rPr>
        <w:t>2.肥情监测通二维码</w:t>
      </w:r>
    </w:p>
    <w:p w14:paraId="16D72C1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r>
        <w:rPr>
          <w:rFonts w:hint="eastAsia" w:ascii="仿宋_GB2312" w:hAnsi="仿宋_GB2312" w:eastAsia="仿宋_GB2312" w:cs="仿宋_GB2312"/>
          <w:i w:val="0"/>
          <w:iCs w:val="0"/>
          <w:caps w:val="0"/>
          <w:color w:val="333333"/>
          <w:spacing w:val="0"/>
          <w:kern w:val="0"/>
          <w:sz w:val="32"/>
          <w:szCs w:val="32"/>
          <w:lang w:val="en-US" w:eastAsia="zh-CN" w:bidi="ar"/>
        </w:rPr>
        <w:t xml:space="preserve">      3.NE推荐施肥专家系统二维码</w:t>
      </w:r>
    </w:p>
    <w:p w14:paraId="719BCEFB">
      <w:pPr>
        <w:keepNext w:val="0"/>
        <w:keepLines w:val="0"/>
        <w:pageBreakBefore w:val="0"/>
        <w:widowControl/>
        <w:wordWrap/>
        <w:overflowPunct/>
        <w:topLinePunct w:val="0"/>
        <w:bidi w:val="0"/>
        <w:spacing w:line="560" w:lineRule="exact"/>
        <w:ind w:firstLine="420" w:firstLineChars="200"/>
        <w:jc w:val="left"/>
        <w:rPr>
          <w:rFonts w:ascii="Arial"/>
          <w:sz w:val="21"/>
        </w:rPr>
      </w:pPr>
    </w:p>
    <w:p w14:paraId="66C6EF0A">
      <w:pPr>
        <w:spacing w:before="85"/>
        <w:jc w:val="right"/>
        <w:rPr>
          <w:rFonts w:ascii="宋体" w:hAnsi="宋体" w:eastAsia="宋体" w:cs="宋体"/>
          <w:sz w:val="26"/>
          <w:szCs w:val="26"/>
        </w:rPr>
        <w:sectPr>
          <w:footerReference r:id="rId5" w:type="default"/>
          <w:pgSz w:w="11900" w:h="16840"/>
          <w:pgMar w:top="1440" w:right="1800" w:bottom="1440" w:left="1800" w:header="0" w:footer="0" w:gutter="0"/>
          <w:cols w:space="720" w:num="1"/>
        </w:sectPr>
      </w:pPr>
    </w:p>
    <w:p w14:paraId="66D6FEC1">
      <w:pPr>
        <w:spacing w:line="255" w:lineRule="auto"/>
        <w:rPr>
          <w:rFonts w:ascii="Arial"/>
          <w:sz w:val="21"/>
        </w:rPr>
      </w:pPr>
    </w:p>
    <w:p w14:paraId="5411A9E0">
      <w:pPr>
        <w:spacing w:line="255" w:lineRule="auto"/>
        <w:rPr>
          <w:rFonts w:ascii="Arial"/>
          <w:sz w:val="21"/>
        </w:rPr>
      </w:pPr>
    </w:p>
    <w:p w14:paraId="7D42E42C">
      <w:pPr>
        <w:spacing w:line="255" w:lineRule="auto"/>
        <w:rPr>
          <w:rFonts w:ascii="Arial"/>
          <w:sz w:val="21"/>
        </w:rPr>
      </w:pPr>
    </w:p>
    <w:p w14:paraId="02C8DE66">
      <w:pPr>
        <w:spacing w:line="255" w:lineRule="auto"/>
        <w:rPr>
          <w:rFonts w:ascii="Arial"/>
          <w:sz w:val="21"/>
        </w:rPr>
      </w:pPr>
    </w:p>
    <w:p w14:paraId="70963B93">
      <w:pPr>
        <w:spacing w:line="255" w:lineRule="auto"/>
        <w:rPr>
          <w:rFonts w:ascii="Arial"/>
          <w:sz w:val="21"/>
        </w:rPr>
      </w:pPr>
    </w:p>
    <w:p w14:paraId="22D7FC89">
      <w:pPr>
        <w:spacing w:line="255" w:lineRule="auto"/>
        <w:rPr>
          <w:rFonts w:ascii="Arial"/>
          <w:sz w:val="21"/>
        </w:rPr>
      </w:pPr>
    </w:p>
    <w:p w14:paraId="0185D776">
      <w:pPr>
        <w:spacing w:line="256" w:lineRule="auto"/>
        <w:rPr>
          <w:rFonts w:ascii="Arial"/>
          <w:sz w:val="21"/>
        </w:rPr>
      </w:pPr>
    </w:p>
    <w:p w14:paraId="53A220F1">
      <w:pPr>
        <w:spacing w:before="94" w:line="224" w:lineRule="auto"/>
        <w:ind w:left="519"/>
        <w:rPr>
          <w:rFonts w:ascii="黑体" w:hAnsi="黑体" w:eastAsia="黑体" w:cs="黑体"/>
          <w:sz w:val="29"/>
          <w:szCs w:val="29"/>
        </w:rPr>
      </w:pPr>
      <w:r>
        <w:rPr>
          <w:rFonts w:ascii="黑体" w:hAnsi="黑体" w:eastAsia="黑体" w:cs="黑体"/>
          <w:b/>
          <w:bCs/>
          <w:spacing w:val="12"/>
          <w:sz w:val="29"/>
          <w:szCs w:val="29"/>
        </w:rPr>
        <w:t>附件1</w:t>
      </w:r>
    </w:p>
    <w:p w14:paraId="46950B05">
      <w:pPr>
        <w:spacing w:line="267" w:lineRule="auto"/>
        <w:rPr>
          <w:rFonts w:ascii="Arial"/>
          <w:sz w:val="21"/>
        </w:rPr>
      </w:pPr>
    </w:p>
    <w:p w14:paraId="743C6334">
      <w:pPr>
        <w:spacing w:line="268" w:lineRule="auto"/>
        <w:rPr>
          <w:rFonts w:ascii="Arial"/>
          <w:sz w:val="21"/>
        </w:rPr>
      </w:pPr>
    </w:p>
    <w:p w14:paraId="18605F06">
      <w:pPr>
        <w:spacing w:before="136" w:line="219" w:lineRule="auto"/>
        <w:ind w:left="3590"/>
        <w:rPr>
          <w:rFonts w:ascii="宋体" w:hAnsi="宋体" w:eastAsia="宋体" w:cs="宋体"/>
          <w:sz w:val="42"/>
          <w:szCs w:val="42"/>
        </w:rPr>
      </w:pPr>
      <w:r>
        <w:rPr>
          <w:rFonts w:ascii="宋体" w:hAnsi="宋体" w:eastAsia="宋体" w:cs="宋体"/>
          <w:b/>
          <w:bCs/>
          <w:spacing w:val="4"/>
          <w:sz w:val="42"/>
          <w:szCs w:val="42"/>
        </w:rPr>
        <w:t>2025年科学施肥增效项目任务安排表</w:t>
      </w:r>
    </w:p>
    <w:p w14:paraId="4AF6D9E4">
      <w:pPr>
        <w:spacing w:line="168" w:lineRule="exact"/>
      </w:pPr>
    </w:p>
    <w:tbl>
      <w:tblPr>
        <w:tblStyle w:val="7"/>
        <w:tblW w:w="1379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7"/>
        <w:gridCol w:w="1604"/>
        <w:gridCol w:w="923"/>
        <w:gridCol w:w="913"/>
        <w:gridCol w:w="1118"/>
        <w:gridCol w:w="1176"/>
        <w:gridCol w:w="1585"/>
        <w:gridCol w:w="1760"/>
        <w:gridCol w:w="1092"/>
        <w:gridCol w:w="1322"/>
        <w:gridCol w:w="1357"/>
      </w:tblGrid>
      <w:tr w14:paraId="4A262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trPr>
        <w:tc>
          <w:tcPr>
            <w:tcW w:w="947" w:type="dxa"/>
            <w:vMerge w:val="restart"/>
            <w:tcBorders>
              <w:top w:val="single" w:color="000000" w:sz="2" w:space="0"/>
              <w:bottom w:val="nil"/>
            </w:tcBorders>
            <w:vAlign w:val="top"/>
          </w:tcPr>
          <w:p w14:paraId="5E91A029">
            <w:pPr>
              <w:spacing w:before="288" w:line="221" w:lineRule="auto"/>
              <w:ind w:left="284"/>
              <w:rPr>
                <w:rFonts w:ascii="宋体" w:hAnsi="宋体" w:eastAsia="宋体" w:cs="宋体"/>
                <w:sz w:val="19"/>
                <w:szCs w:val="19"/>
              </w:rPr>
            </w:pPr>
            <w:r>
              <w:rPr>
                <w:rFonts w:ascii="宋体" w:hAnsi="宋体" w:eastAsia="宋体" w:cs="宋体"/>
                <w:spacing w:val="-2"/>
                <w:sz w:val="19"/>
                <w:szCs w:val="19"/>
              </w:rPr>
              <w:t>序号</w:t>
            </w:r>
          </w:p>
        </w:tc>
        <w:tc>
          <w:tcPr>
            <w:tcW w:w="1604" w:type="dxa"/>
            <w:vMerge w:val="restart"/>
            <w:tcBorders>
              <w:top w:val="single" w:color="000000" w:sz="2" w:space="0"/>
              <w:bottom w:val="nil"/>
            </w:tcBorders>
            <w:vAlign w:val="top"/>
          </w:tcPr>
          <w:p w14:paraId="56BEBEB4">
            <w:pPr>
              <w:spacing w:before="287" w:line="219" w:lineRule="auto"/>
              <w:ind w:left="460"/>
              <w:rPr>
                <w:rFonts w:ascii="宋体" w:hAnsi="宋体" w:eastAsia="宋体" w:cs="宋体"/>
                <w:sz w:val="19"/>
                <w:szCs w:val="19"/>
              </w:rPr>
            </w:pPr>
            <w:r>
              <w:rPr>
                <w:rFonts w:ascii="宋体" w:hAnsi="宋体" w:eastAsia="宋体" w:cs="宋体"/>
                <w:spacing w:val="6"/>
                <w:sz w:val="19"/>
                <w:szCs w:val="19"/>
              </w:rPr>
              <w:t>市、县名</w:t>
            </w:r>
          </w:p>
        </w:tc>
        <w:tc>
          <w:tcPr>
            <w:tcW w:w="8567" w:type="dxa"/>
            <w:gridSpan w:val="7"/>
            <w:tcBorders>
              <w:top w:val="single" w:color="000000" w:sz="2" w:space="0"/>
              <w:bottom w:val="single" w:color="000000" w:sz="2" w:space="0"/>
            </w:tcBorders>
            <w:vAlign w:val="top"/>
          </w:tcPr>
          <w:p w14:paraId="68BC6BD6">
            <w:pPr>
              <w:spacing w:before="37" w:line="196" w:lineRule="auto"/>
              <w:ind w:left="3211"/>
              <w:rPr>
                <w:rFonts w:ascii="宋体" w:hAnsi="宋体" w:eastAsia="宋体" w:cs="宋体"/>
                <w:sz w:val="19"/>
                <w:szCs w:val="19"/>
              </w:rPr>
            </w:pPr>
            <w:r>
              <w:rPr>
                <w:rFonts w:ascii="宋体" w:hAnsi="宋体" w:eastAsia="宋体" w:cs="宋体"/>
                <w:spacing w:val="1"/>
                <w:sz w:val="19"/>
                <w:szCs w:val="19"/>
              </w:rPr>
              <w:t>测土配方施肥基础性工作</w:t>
            </w:r>
          </w:p>
        </w:tc>
        <w:tc>
          <w:tcPr>
            <w:tcW w:w="2679" w:type="dxa"/>
            <w:gridSpan w:val="2"/>
            <w:tcBorders>
              <w:top w:val="single" w:color="000000" w:sz="2" w:space="0"/>
              <w:bottom w:val="single" w:color="000000" w:sz="2" w:space="0"/>
            </w:tcBorders>
            <w:vAlign w:val="top"/>
          </w:tcPr>
          <w:p w14:paraId="2F46B6C6">
            <w:pPr>
              <w:spacing w:before="35" w:line="198" w:lineRule="auto"/>
              <w:ind w:left="271"/>
              <w:rPr>
                <w:rFonts w:ascii="宋体" w:hAnsi="宋体" w:eastAsia="宋体" w:cs="宋体"/>
                <w:sz w:val="19"/>
                <w:szCs w:val="19"/>
              </w:rPr>
            </w:pPr>
            <w:r>
              <w:rPr>
                <w:rFonts w:ascii="宋体" w:hAnsi="宋体" w:eastAsia="宋体" w:cs="宋体"/>
                <w:b/>
                <w:bCs/>
                <w:spacing w:val="-3"/>
                <w:sz w:val="19"/>
                <w:szCs w:val="19"/>
              </w:rPr>
              <w:t>建设“三新”集成推进县</w:t>
            </w:r>
          </w:p>
        </w:tc>
      </w:tr>
      <w:tr w14:paraId="4759D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47" w:type="dxa"/>
            <w:vMerge w:val="continue"/>
            <w:tcBorders>
              <w:top w:val="nil"/>
              <w:bottom w:val="nil"/>
            </w:tcBorders>
            <w:vAlign w:val="top"/>
          </w:tcPr>
          <w:p w14:paraId="3428F3AF">
            <w:pPr>
              <w:pStyle w:val="8"/>
            </w:pPr>
          </w:p>
        </w:tc>
        <w:tc>
          <w:tcPr>
            <w:tcW w:w="1604" w:type="dxa"/>
            <w:vMerge w:val="continue"/>
            <w:tcBorders>
              <w:top w:val="nil"/>
              <w:bottom w:val="nil"/>
            </w:tcBorders>
            <w:vAlign w:val="top"/>
          </w:tcPr>
          <w:p w14:paraId="09D4B2E8">
            <w:pPr>
              <w:pStyle w:val="8"/>
            </w:pPr>
          </w:p>
        </w:tc>
        <w:tc>
          <w:tcPr>
            <w:tcW w:w="923" w:type="dxa"/>
            <w:vMerge w:val="restart"/>
            <w:tcBorders>
              <w:top w:val="single" w:color="000000" w:sz="2" w:space="0"/>
              <w:bottom w:val="nil"/>
            </w:tcBorders>
            <w:vAlign w:val="top"/>
          </w:tcPr>
          <w:p w14:paraId="52FD5D7A">
            <w:pPr>
              <w:spacing w:before="53" w:line="207" w:lineRule="auto"/>
              <w:ind w:left="81" w:right="55"/>
              <w:rPr>
                <w:rFonts w:ascii="宋体" w:hAnsi="宋体" w:eastAsia="宋体" w:cs="宋体"/>
                <w:sz w:val="19"/>
                <w:szCs w:val="19"/>
              </w:rPr>
            </w:pPr>
            <w:r>
              <w:rPr>
                <w:rFonts w:ascii="宋体" w:hAnsi="宋体" w:eastAsia="宋体" w:cs="宋体"/>
                <w:spacing w:val="-3"/>
                <w:sz w:val="19"/>
                <w:szCs w:val="19"/>
              </w:rPr>
              <w:t>新型肥料</w:t>
            </w:r>
            <w:r>
              <w:rPr>
                <w:rFonts w:ascii="宋体" w:hAnsi="宋体" w:eastAsia="宋体" w:cs="宋体"/>
                <w:spacing w:val="2"/>
                <w:sz w:val="19"/>
                <w:szCs w:val="19"/>
              </w:rPr>
              <w:t xml:space="preserve"> </w:t>
            </w:r>
            <w:r>
              <w:rPr>
                <w:rFonts w:ascii="宋体" w:hAnsi="宋体" w:eastAsia="宋体" w:cs="宋体"/>
                <w:spacing w:val="8"/>
                <w:sz w:val="19"/>
                <w:szCs w:val="19"/>
              </w:rPr>
              <w:t>试验(个)</w:t>
            </w:r>
          </w:p>
        </w:tc>
        <w:tc>
          <w:tcPr>
            <w:tcW w:w="913" w:type="dxa"/>
            <w:vMerge w:val="restart"/>
            <w:tcBorders>
              <w:top w:val="single" w:color="000000" w:sz="2" w:space="0"/>
              <w:bottom w:val="nil"/>
            </w:tcBorders>
            <w:vAlign w:val="top"/>
          </w:tcPr>
          <w:p w14:paraId="25B0CCF4">
            <w:pPr>
              <w:spacing w:before="55" w:line="206" w:lineRule="auto"/>
              <w:ind w:left="83" w:right="44"/>
              <w:rPr>
                <w:rFonts w:ascii="宋体" w:hAnsi="宋体" w:eastAsia="宋体" w:cs="宋体"/>
                <w:sz w:val="19"/>
                <w:szCs w:val="19"/>
              </w:rPr>
            </w:pPr>
            <w:r>
              <w:rPr>
                <w:rFonts w:ascii="宋体" w:hAnsi="宋体" w:eastAsia="宋体" w:cs="宋体"/>
                <w:spacing w:val="-2"/>
                <w:sz w:val="19"/>
                <w:szCs w:val="19"/>
              </w:rPr>
              <w:t>配方校正</w:t>
            </w:r>
            <w:r>
              <w:rPr>
                <w:rFonts w:ascii="宋体" w:hAnsi="宋体" w:eastAsia="宋体" w:cs="宋体"/>
                <w:sz w:val="19"/>
                <w:szCs w:val="19"/>
              </w:rPr>
              <w:t xml:space="preserve"> </w:t>
            </w:r>
            <w:r>
              <w:rPr>
                <w:rFonts w:ascii="宋体" w:hAnsi="宋体" w:eastAsia="宋体" w:cs="宋体"/>
                <w:spacing w:val="8"/>
                <w:sz w:val="19"/>
                <w:szCs w:val="19"/>
              </w:rPr>
              <w:t>试验(个)</w:t>
            </w:r>
          </w:p>
        </w:tc>
        <w:tc>
          <w:tcPr>
            <w:tcW w:w="2294" w:type="dxa"/>
            <w:gridSpan w:val="2"/>
            <w:tcBorders>
              <w:top w:val="single" w:color="000000" w:sz="2" w:space="0"/>
              <w:bottom w:val="single" w:color="000000" w:sz="2" w:space="0"/>
            </w:tcBorders>
            <w:vAlign w:val="top"/>
          </w:tcPr>
          <w:p w14:paraId="6EB637C7">
            <w:pPr>
              <w:spacing w:before="33" w:line="196" w:lineRule="auto"/>
              <w:ind w:left="313"/>
              <w:rPr>
                <w:rFonts w:ascii="宋体" w:hAnsi="宋体" w:eastAsia="宋体" w:cs="宋体"/>
                <w:sz w:val="19"/>
                <w:szCs w:val="19"/>
              </w:rPr>
            </w:pPr>
            <w:r>
              <w:rPr>
                <w:rFonts w:ascii="宋体" w:hAnsi="宋体" w:eastAsia="宋体" w:cs="宋体"/>
                <w:spacing w:val="4"/>
                <w:sz w:val="19"/>
                <w:szCs w:val="19"/>
              </w:rPr>
              <w:t>化肥利用率试验(个)</w:t>
            </w:r>
          </w:p>
        </w:tc>
        <w:tc>
          <w:tcPr>
            <w:tcW w:w="1585" w:type="dxa"/>
            <w:vMerge w:val="restart"/>
            <w:tcBorders>
              <w:top w:val="single" w:color="000000" w:sz="2" w:space="0"/>
              <w:bottom w:val="nil"/>
            </w:tcBorders>
            <w:vAlign w:val="top"/>
          </w:tcPr>
          <w:p w14:paraId="04926CC4">
            <w:pPr>
              <w:spacing w:before="152" w:line="219" w:lineRule="auto"/>
              <w:ind w:left="45"/>
              <w:rPr>
                <w:rFonts w:ascii="宋体" w:hAnsi="宋体" w:eastAsia="宋体" w:cs="宋体"/>
                <w:sz w:val="19"/>
                <w:szCs w:val="19"/>
              </w:rPr>
            </w:pPr>
            <w:r>
              <w:rPr>
                <w:rFonts w:ascii="宋体" w:hAnsi="宋体" w:eastAsia="宋体" w:cs="宋体"/>
                <w:spacing w:val="4"/>
                <w:sz w:val="19"/>
                <w:szCs w:val="19"/>
              </w:rPr>
              <w:t>施肥效应试验(个)</w:t>
            </w:r>
          </w:p>
        </w:tc>
        <w:tc>
          <w:tcPr>
            <w:tcW w:w="1760" w:type="dxa"/>
            <w:vMerge w:val="restart"/>
            <w:tcBorders>
              <w:top w:val="single" w:color="000000" w:sz="2" w:space="0"/>
              <w:bottom w:val="nil"/>
            </w:tcBorders>
            <w:vAlign w:val="top"/>
          </w:tcPr>
          <w:p w14:paraId="06DD8F97">
            <w:pPr>
              <w:spacing w:before="153" w:line="219" w:lineRule="auto"/>
              <w:jc w:val="right"/>
              <w:rPr>
                <w:rFonts w:ascii="宋体" w:hAnsi="宋体" w:eastAsia="宋体" w:cs="宋体"/>
                <w:sz w:val="19"/>
                <w:szCs w:val="19"/>
              </w:rPr>
            </w:pPr>
            <w:r>
              <w:rPr>
                <w:rFonts w:ascii="宋体" w:hAnsi="宋体" w:eastAsia="宋体" w:cs="宋体"/>
                <w:spacing w:val="-1"/>
                <w:sz w:val="19"/>
                <w:szCs w:val="19"/>
              </w:rPr>
              <w:t>大豆根瘤菌试验(个)</w:t>
            </w:r>
          </w:p>
        </w:tc>
        <w:tc>
          <w:tcPr>
            <w:tcW w:w="1092" w:type="dxa"/>
            <w:vMerge w:val="restart"/>
            <w:tcBorders>
              <w:top w:val="single" w:color="000000" w:sz="2" w:space="0"/>
              <w:bottom w:val="nil"/>
            </w:tcBorders>
            <w:vAlign w:val="top"/>
          </w:tcPr>
          <w:p w14:paraId="14951149">
            <w:pPr>
              <w:spacing w:before="42" w:line="219" w:lineRule="auto"/>
              <w:ind w:left="77"/>
              <w:rPr>
                <w:rFonts w:ascii="宋体" w:hAnsi="宋体" w:eastAsia="宋体" w:cs="宋体"/>
                <w:sz w:val="19"/>
                <w:szCs w:val="19"/>
              </w:rPr>
            </w:pPr>
            <w:r>
              <w:rPr>
                <w:rFonts w:ascii="宋体" w:hAnsi="宋体" w:eastAsia="宋体" w:cs="宋体"/>
                <w:spacing w:val="3"/>
                <w:sz w:val="19"/>
                <w:szCs w:val="19"/>
              </w:rPr>
              <w:t>农户施肥调</w:t>
            </w:r>
          </w:p>
          <w:p w14:paraId="2E449F57">
            <w:pPr>
              <w:spacing w:before="6" w:line="205" w:lineRule="auto"/>
              <w:ind w:left="297"/>
              <w:rPr>
                <w:rFonts w:ascii="宋体" w:hAnsi="宋体" w:eastAsia="宋体" w:cs="宋体"/>
                <w:sz w:val="19"/>
                <w:szCs w:val="19"/>
              </w:rPr>
            </w:pPr>
            <w:r>
              <w:rPr>
                <w:rFonts w:ascii="宋体" w:hAnsi="宋体" w:eastAsia="宋体" w:cs="宋体"/>
                <w:spacing w:val="10"/>
                <w:sz w:val="19"/>
                <w:szCs w:val="19"/>
              </w:rPr>
              <w:t>查(户)</w:t>
            </w:r>
          </w:p>
        </w:tc>
        <w:tc>
          <w:tcPr>
            <w:tcW w:w="1322" w:type="dxa"/>
            <w:vMerge w:val="restart"/>
            <w:tcBorders>
              <w:top w:val="single" w:color="000000" w:sz="2" w:space="0"/>
              <w:bottom w:val="nil"/>
            </w:tcBorders>
            <w:vAlign w:val="top"/>
          </w:tcPr>
          <w:p w14:paraId="0B925AC6">
            <w:pPr>
              <w:spacing w:before="153" w:line="219" w:lineRule="auto"/>
              <w:ind w:left="238"/>
              <w:rPr>
                <w:rFonts w:ascii="宋体" w:hAnsi="宋体" w:eastAsia="宋体" w:cs="宋体"/>
                <w:sz w:val="19"/>
                <w:szCs w:val="19"/>
              </w:rPr>
            </w:pPr>
            <w:r>
              <w:rPr>
                <w:rFonts w:ascii="宋体" w:hAnsi="宋体" w:eastAsia="宋体" w:cs="宋体"/>
                <w:spacing w:val="8"/>
                <w:sz w:val="19"/>
                <w:szCs w:val="19"/>
              </w:rPr>
              <w:t>数量(个)</w:t>
            </w:r>
          </w:p>
        </w:tc>
        <w:tc>
          <w:tcPr>
            <w:tcW w:w="1357" w:type="dxa"/>
            <w:vMerge w:val="restart"/>
            <w:tcBorders>
              <w:top w:val="single" w:color="000000" w:sz="2" w:space="0"/>
              <w:bottom w:val="nil"/>
            </w:tcBorders>
            <w:vAlign w:val="top"/>
          </w:tcPr>
          <w:p w14:paraId="190D9065">
            <w:pPr>
              <w:spacing w:before="151" w:line="219" w:lineRule="auto"/>
              <w:ind w:left="552"/>
              <w:rPr>
                <w:rFonts w:ascii="宋体" w:hAnsi="宋体" w:eastAsia="宋体" w:cs="宋体"/>
                <w:sz w:val="19"/>
                <w:szCs w:val="19"/>
              </w:rPr>
            </w:pPr>
            <w:r>
              <w:rPr>
                <w:rFonts w:ascii="宋体" w:hAnsi="宋体" w:eastAsia="宋体" w:cs="宋体"/>
                <w:b/>
                <w:bCs/>
                <w:spacing w:val="-4"/>
                <w:sz w:val="19"/>
                <w:szCs w:val="19"/>
              </w:rPr>
              <w:t>类型</w:t>
            </w:r>
          </w:p>
        </w:tc>
      </w:tr>
      <w:tr w14:paraId="46587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947" w:type="dxa"/>
            <w:vMerge w:val="continue"/>
            <w:tcBorders>
              <w:top w:val="nil"/>
              <w:bottom w:val="single" w:color="000000" w:sz="2" w:space="0"/>
            </w:tcBorders>
            <w:vAlign w:val="top"/>
          </w:tcPr>
          <w:p w14:paraId="4F2F9DA9">
            <w:pPr>
              <w:pStyle w:val="8"/>
            </w:pPr>
          </w:p>
        </w:tc>
        <w:tc>
          <w:tcPr>
            <w:tcW w:w="1604" w:type="dxa"/>
            <w:vMerge w:val="continue"/>
            <w:tcBorders>
              <w:top w:val="nil"/>
              <w:bottom w:val="single" w:color="000000" w:sz="2" w:space="0"/>
            </w:tcBorders>
            <w:vAlign w:val="top"/>
          </w:tcPr>
          <w:p w14:paraId="71FEF95F">
            <w:pPr>
              <w:pStyle w:val="8"/>
            </w:pPr>
          </w:p>
        </w:tc>
        <w:tc>
          <w:tcPr>
            <w:tcW w:w="923" w:type="dxa"/>
            <w:vMerge w:val="continue"/>
            <w:tcBorders>
              <w:top w:val="nil"/>
              <w:bottom w:val="single" w:color="000000" w:sz="2" w:space="0"/>
            </w:tcBorders>
            <w:vAlign w:val="top"/>
          </w:tcPr>
          <w:p w14:paraId="5269CB7B">
            <w:pPr>
              <w:pStyle w:val="8"/>
            </w:pPr>
          </w:p>
        </w:tc>
        <w:tc>
          <w:tcPr>
            <w:tcW w:w="913" w:type="dxa"/>
            <w:vMerge w:val="continue"/>
            <w:tcBorders>
              <w:top w:val="nil"/>
              <w:bottom w:val="single" w:color="000000" w:sz="2" w:space="0"/>
            </w:tcBorders>
            <w:vAlign w:val="top"/>
          </w:tcPr>
          <w:p w14:paraId="2931F44D">
            <w:pPr>
              <w:pStyle w:val="8"/>
            </w:pPr>
          </w:p>
        </w:tc>
        <w:tc>
          <w:tcPr>
            <w:tcW w:w="1118" w:type="dxa"/>
            <w:tcBorders>
              <w:top w:val="single" w:color="000000" w:sz="2" w:space="0"/>
              <w:bottom w:val="single" w:color="000000" w:sz="2" w:space="0"/>
            </w:tcBorders>
            <w:vAlign w:val="top"/>
          </w:tcPr>
          <w:p w14:paraId="42FC6D65">
            <w:pPr>
              <w:spacing w:before="33" w:line="196" w:lineRule="auto"/>
              <w:ind w:left="373"/>
              <w:rPr>
                <w:rFonts w:ascii="宋体" w:hAnsi="宋体" w:eastAsia="宋体" w:cs="宋体"/>
                <w:sz w:val="19"/>
                <w:szCs w:val="19"/>
              </w:rPr>
            </w:pPr>
            <w:r>
              <w:rPr>
                <w:rFonts w:ascii="宋体" w:hAnsi="宋体" w:eastAsia="宋体" w:cs="宋体"/>
                <w:spacing w:val="6"/>
                <w:sz w:val="19"/>
                <w:szCs w:val="19"/>
              </w:rPr>
              <w:t>水稻</w:t>
            </w:r>
          </w:p>
        </w:tc>
        <w:tc>
          <w:tcPr>
            <w:tcW w:w="1176" w:type="dxa"/>
            <w:tcBorders>
              <w:top w:val="single" w:color="000000" w:sz="2" w:space="0"/>
              <w:bottom w:val="single" w:color="000000" w:sz="2" w:space="0"/>
            </w:tcBorders>
            <w:vAlign w:val="top"/>
          </w:tcPr>
          <w:p w14:paraId="34A40760">
            <w:pPr>
              <w:spacing w:before="33" w:line="196" w:lineRule="auto"/>
              <w:ind w:left="404"/>
              <w:rPr>
                <w:rFonts w:ascii="宋体" w:hAnsi="宋体" w:eastAsia="宋体" w:cs="宋体"/>
                <w:sz w:val="19"/>
                <w:szCs w:val="19"/>
              </w:rPr>
            </w:pPr>
            <w:r>
              <w:rPr>
                <w:rFonts w:ascii="宋体" w:hAnsi="宋体" w:eastAsia="宋体" w:cs="宋体"/>
                <w:spacing w:val="-3"/>
                <w:sz w:val="19"/>
                <w:szCs w:val="19"/>
              </w:rPr>
              <w:t>玉米</w:t>
            </w:r>
          </w:p>
        </w:tc>
        <w:tc>
          <w:tcPr>
            <w:tcW w:w="1585" w:type="dxa"/>
            <w:vMerge w:val="continue"/>
            <w:tcBorders>
              <w:top w:val="nil"/>
              <w:bottom w:val="single" w:color="000000" w:sz="2" w:space="0"/>
            </w:tcBorders>
            <w:vAlign w:val="top"/>
          </w:tcPr>
          <w:p w14:paraId="539BA1B3">
            <w:pPr>
              <w:pStyle w:val="8"/>
            </w:pPr>
          </w:p>
        </w:tc>
        <w:tc>
          <w:tcPr>
            <w:tcW w:w="1760" w:type="dxa"/>
            <w:vMerge w:val="continue"/>
            <w:tcBorders>
              <w:top w:val="nil"/>
              <w:bottom w:val="single" w:color="000000" w:sz="2" w:space="0"/>
            </w:tcBorders>
            <w:vAlign w:val="top"/>
          </w:tcPr>
          <w:p w14:paraId="2DB72486">
            <w:pPr>
              <w:pStyle w:val="8"/>
            </w:pPr>
          </w:p>
        </w:tc>
        <w:tc>
          <w:tcPr>
            <w:tcW w:w="1092" w:type="dxa"/>
            <w:vMerge w:val="continue"/>
            <w:tcBorders>
              <w:top w:val="nil"/>
              <w:bottom w:val="single" w:color="000000" w:sz="2" w:space="0"/>
            </w:tcBorders>
            <w:vAlign w:val="top"/>
          </w:tcPr>
          <w:p w14:paraId="330358DE">
            <w:pPr>
              <w:pStyle w:val="8"/>
            </w:pPr>
          </w:p>
        </w:tc>
        <w:tc>
          <w:tcPr>
            <w:tcW w:w="1322" w:type="dxa"/>
            <w:vMerge w:val="continue"/>
            <w:tcBorders>
              <w:top w:val="nil"/>
              <w:bottom w:val="single" w:color="000000" w:sz="2" w:space="0"/>
            </w:tcBorders>
            <w:vAlign w:val="top"/>
          </w:tcPr>
          <w:p w14:paraId="03E6EF6D">
            <w:pPr>
              <w:pStyle w:val="8"/>
            </w:pPr>
          </w:p>
        </w:tc>
        <w:tc>
          <w:tcPr>
            <w:tcW w:w="1357" w:type="dxa"/>
            <w:vMerge w:val="continue"/>
            <w:tcBorders>
              <w:top w:val="nil"/>
              <w:bottom w:val="single" w:color="000000" w:sz="2" w:space="0"/>
            </w:tcBorders>
            <w:vAlign w:val="top"/>
          </w:tcPr>
          <w:p w14:paraId="5097C858">
            <w:pPr>
              <w:pStyle w:val="8"/>
            </w:pPr>
          </w:p>
        </w:tc>
      </w:tr>
      <w:tr w14:paraId="34A9D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2" w:hRule="atLeast"/>
        </w:trPr>
        <w:tc>
          <w:tcPr>
            <w:tcW w:w="947" w:type="dxa"/>
            <w:tcBorders>
              <w:top w:val="single" w:color="000000" w:sz="2" w:space="0"/>
              <w:bottom w:val="single" w:color="000000" w:sz="2" w:space="0"/>
            </w:tcBorders>
            <w:vAlign w:val="top"/>
          </w:tcPr>
          <w:p w14:paraId="43124627">
            <w:pPr>
              <w:pStyle w:val="8"/>
              <w:spacing w:line="263" w:lineRule="auto"/>
            </w:pPr>
          </w:p>
          <w:p w14:paraId="07316ACE">
            <w:pPr>
              <w:pStyle w:val="8"/>
              <w:spacing w:line="263" w:lineRule="auto"/>
            </w:pPr>
          </w:p>
          <w:p w14:paraId="1084FB8D">
            <w:pPr>
              <w:pStyle w:val="8"/>
              <w:spacing w:line="263" w:lineRule="auto"/>
            </w:pPr>
          </w:p>
          <w:p w14:paraId="5D3BDC82">
            <w:pPr>
              <w:pStyle w:val="8"/>
              <w:spacing w:line="263" w:lineRule="auto"/>
            </w:pPr>
          </w:p>
          <w:p w14:paraId="464E9E60">
            <w:pPr>
              <w:pStyle w:val="8"/>
              <w:spacing w:line="263" w:lineRule="auto"/>
            </w:pPr>
          </w:p>
          <w:p w14:paraId="0DBFC0C3">
            <w:pPr>
              <w:pStyle w:val="8"/>
              <w:spacing w:line="263" w:lineRule="auto"/>
            </w:pPr>
          </w:p>
          <w:p w14:paraId="662187D4">
            <w:pPr>
              <w:pStyle w:val="8"/>
              <w:spacing w:line="263" w:lineRule="auto"/>
            </w:pPr>
          </w:p>
          <w:p w14:paraId="46C0247E">
            <w:pPr>
              <w:pStyle w:val="8"/>
              <w:spacing w:line="264" w:lineRule="auto"/>
            </w:pPr>
          </w:p>
          <w:p w14:paraId="19F50B7C">
            <w:pPr>
              <w:pStyle w:val="8"/>
              <w:spacing w:line="264" w:lineRule="auto"/>
            </w:pPr>
          </w:p>
          <w:p w14:paraId="37E5E7E0">
            <w:pPr>
              <w:pStyle w:val="8"/>
              <w:spacing w:line="264" w:lineRule="auto"/>
            </w:pPr>
          </w:p>
          <w:p w14:paraId="39B143D6">
            <w:pPr>
              <w:spacing w:before="62" w:line="241" w:lineRule="auto"/>
              <w:ind w:left="424"/>
              <w:rPr>
                <w:rFonts w:ascii="宋体" w:hAnsi="宋体" w:eastAsia="宋体" w:cs="宋体"/>
                <w:sz w:val="19"/>
                <w:szCs w:val="19"/>
              </w:rPr>
            </w:pPr>
            <w:r>
              <w:rPr>
                <w:rFonts w:ascii="宋体" w:hAnsi="宋体" w:eastAsia="宋体" w:cs="宋体"/>
                <w:sz w:val="19"/>
                <w:szCs w:val="19"/>
              </w:rPr>
              <w:t>1</w:t>
            </w:r>
          </w:p>
        </w:tc>
        <w:tc>
          <w:tcPr>
            <w:tcW w:w="1604" w:type="dxa"/>
            <w:tcBorders>
              <w:top w:val="single" w:color="000000" w:sz="2" w:space="0"/>
              <w:bottom w:val="single" w:color="000000" w:sz="2" w:space="0"/>
            </w:tcBorders>
            <w:vAlign w:val="top"/>
          </w:tcPr>
          <w:p w14:paraId="1FB2FA90">
            <w:pPr>
              <w:pStyle w:val="8"/>
              <w:spacing w:line="259" w:lineRule="auto"/>
            </w:pPr>
          </w:p>
          <w:p w14:paraId="2BB85231">
            <w:pPr>
              <w:pStyle w:val="8"/>
              <w:spacing w:line="259" w:lineRule="auto"/>
            </w:pPr>
          </w:p>
          <w:p w14:paraId="2035B19C">
            <w:pPr>
              <w:pStyle w:val="8"/>
              <w:spacing w:line="259" w:lineRule="auto"/>
            </w:pPr>
          </w:p>
          <w:p w14:paraId="325642E1">
            <w:pPr>
              <w:pStyle w:val="8"/>
              <w:spacing w:line="260" w:lineRule="auto"/>
            </w:pPr>
          </w:p>
          <w:p w14:paraId="348E05CD">
            <w:pPr>
              <w:pStyle w:val="8"/>
              <w:spacing w:line="260" w:lineRule="auto"/>
            </w:pPr>
          </w:p>
          <w:p w14:paraId="145DFE71">
            <w:pPr>
              <w:pStyle w:val="8"/>
              <w:spacing w:line="260" w:lineRule="auto"/>
            </w:pPr>
          </w:p>
          <w:p w14:paraId="334AAD3D">
            <w:pPr>
              <w:pStyle w:val="8"/>
              <w:spacing w:line="260" w:lineRule="auto"/>
            </w:pPr>
          </w:p>
          <w:p w14:paraId="05A498FE">
            <w:pPr>
              <w:pStyle w:val="8"/>
              <w:spacing w:line="260" w:lineRule="auto"/>
            </w:pPr>
          </w:p>
          <w:p w14:paraId="0414AE18">
            <w:pPr>
              <w:pStyle w:val="8"/>
              <w:spacing w:line="260" w:lineRule="auto"/>
            </w:pPr>
          </w:p>
          <w:p w14:paraId="573A4E6B">
            <w:pPr>
              <w:spacing w:before="61" w:line="219" w:lineRule="auto"/>
              <w:ind w:left="150"/>
              <w:rPr>
                <w:rFonts w:ascii="宋体" w:hAnsi="宋体" w:eastAsia="宋体" w:cs="宋体"/>
                <w:sz w:val="19"/>
                <w:szCs w:val="19"/>
              </w:rPr>
            </w:pPr>
            <w:r>
              <w:rPr>
                <w:rFonts w:ascii="宋体" w:hAnsi="宋体" w:eastAsia="宋体" w:cs="宋体"/>
                <w:spacing w:val="-1"/>
                <w:sz w:val="19"/>
                <w:szCs w:val="19"/>
              </w:rPr>
              <w:t>双鸭山市友谊县</w:t>
            </w:r>
          </w:p>
        </w:tc>
        <w:tc>
          <w:tcPr>
            <w:tcW w:w="923" w:type="dxa"/>
            <w:tcBorders>
              <w:top w:val="single" w:color="000000" w:sz="2" w:space="0"/>
              <w:bottom w:val="single" w:color="000000" w:sz="2" w:space="0"/>
            </w:tcBorders>
            <w:vAlign w:val="top"/>
          </w:tcPr>
          <w:p w14:paraId="11511CD0">
            <w:pPr>
              <w:pStyle w:val="8"/>
              <w:spacing w:line="243" w:lineRule="auto"/>
            </w:pPr>
          </w:p>
          <w:p w14:paraId="58A42FEF">
            <w:pPr>
              <w:pStyle w:val="8"/>
              <w:spacing w:line="243" w:lineRule="auto"/>
            </w:pPr>
          </w:p>
          <w:p w14:paraId="45C3F4CE">
            <w:pPr>
              <w:pStyle w:val="8"/>
              <w:spacing w:line="243" w:lineRule="auto"/>
            </w:pPr>
          </w:p>
          <w:p w14:paraId="46377BCD">
            <w:pPr>
              <w:pStyle w:val="8"/>
              <w:spacing w:line="243" w:lineRule="auto"/>
            </w:pPr>
          </w:p>
          <w:p w14:paraId="3CF45D66">
            <w:pPr>
              <w:pStyle w:val="8"/>
              <w:spacing w:line="243" w:lineRule="auto"/>
            </w:pPr>
          </w:p>
          <w:p w14:paraId="074B27C4">
            <w:pPr>
              <w:pStyle w:val="8"/>
              <w:spacing w:line="244" w:lineRule="auto"/>
            </w:pPr>
          </w:p>
          <w:p w14:paraId="4A958738">
            <w:pPr>
              <w:pStyle w:val="8"/>
              <w:spacing w:line="244" w:lineRule="auto"/>
            </w:pPr>
          </w:p>
          <w:p w14:paraId="79193FC2">
            <w:pPr>
              <w:pStyle w:val="8"/>
              <w:spacing w:line="244" w:lineRule="auto"/>
            </w:pPr>
          </w:p>
          <w:p w14:paraId="672B6F07">
            <w:pPr>
              <w:pStyle w:val="8"/>
              <w:spacing w:line="244" w:lineRule="auto"/>
            </w:pPr>
          </w:p>
          <w:p w14:paraId="566C39C8">
            <w:pPr>
              <w:pStyle w:val="8"/>
              <w:spacing w:line="244" w:lineRule="auto"/>
            </w:pPr>
          </w:p>
          <w:p w14:paraId="449B3B99">
            <w:pPr>
              <w:spacing w:before="62" w:line="241" w:lineRule="auto"/>
              <w:ind w:left="411"/>
              <w:rPr>
                <w:rFonts w:ascii="宋体" w:hAnsi="宋体" w:eastAsia="宋体" w:cs="宋体"/>
                <w:sz w:val="19"/>
                <w:szCs w:val="19"/>
              </w:rPr>
            </w:pPr>
            <w:r>
              <w:rPr>
                <w:rFonts w:ascii="宋体" w:hAnsi="宋体" w:eastAsia="宋体" w:cs="宋体"/>
                <w:sz w:val="19"/>
                <w:szCs w:val="19"/>
              </w:rPr>
              <w:t>1</w:t>
            </w:r>
          </w:p>
        </w:tc>
        <w:tc>
          <w:tcPr>
            <w:tcW w:w="913" w:type="dxa"/>
            <w:tcBorders>
              <w:top w:val="single" w:color="000000" w:sz="2" w:space="0"/>
              <w:bottom w:val="single" w:color="000000" w:sz="2" w:space="0"/>
            </w:tcBorders>
            <w:vAlign w:val="top"/>
          </w:tcPr>
          <w:p w14:paraId="53A44C2A">
            <w:pPr>
              <w:pStyle w:val="8"/>
              <w:spacing w:line="243" w:lineRule="auto"/>
            </w:pPr>
          </w:p>
          <w:p w14:paraId="6041E4CB">
            <w:pPr>
              <w:pStyle w:val="8"/>
              <w:spacing w:line="243" w:lineRule="auto"/>
            </w:pPr>
          </w:p>
          <w:p w14:paraId="58EAC2E0">
            <w:pPr>
              <w:pStyle w:val="8"/>
              <w:spacing w:line="243" w:lineRule="auto"/>
            </w:pPr>
          </w:p>
          <w:p w14:paraId="112F85AB">
            <w:pPr>
              <w:pStyle w:val="8"/>
              <w:spacing w:line="243" w:lineRule="auto"/>
            </w:pPr>
          </w:p>
          <w:p w14:paraId="10995FE6">
            <w:pPr>
              <w:pStyle w:val="8"/>
              <w:spacing w:line="243" w:lineRule="auto"/>
            </w:pPr>
          </w:p>
          <w:p w14:paraId="56695005">
            <w:pPr>
              <w:pStyle w:val="8"/>
              <w:spacing w:line="244" w:lineRule="auto"/>
            </w:pPr>
          </w:p>
          <w:p w14:paraId="6A501104">
            <w:pPr>
              <w:pStyle w:val="8"/>
              <w:spacing w:line="244" w:lineRule="auto"/>
            </w:pPr>
          </w:p>
          <w:p w14:paraId="2DA151DB">
            <w:pPr>
              <w:pStyle w:val="8"/>
              <w:spacing w:line="244" w:lineRule="auto"/>
            </w:pPr>
          </w:p>
          <w:p w14:paraId="01270887">
            <w:pPr>
              <w:pStyle w:val="8"/>
              <w:spacing w:line="244" w:lineRule="auto"/>
            </w:pPr>
          </w:p>
          <w:p w14:paraId="6F4D67BF">
            <w:pPr>
              <w:pStyle w:val="8"/>
              <w:spacing w:line="244" w:lineRule="auto"/>
            </w:pPr>
          </w:p>
          <w:p w14:paraId="60D0A67B">
            <w:pPr>
              <w:spacing w:before="62" w:line="241" w:lineRule="auto"/>
              <w:ind w:left="412"/>
              <w:rPr>
                <w:rFonts w:ascii="宋体" w:hAnsi="宋体" w:eastAsia="宋体" w:cs="宋体"/>
                <w:sz w:val="19"/>
                <w:szCs w:val="19"/>
              </w:rPr>
            </w:pPr>
            <w:r>
              <w:rPr>
                <w:rFonts w:ascii="宋体" w:hAnsi="宋体" w:eastAsia="宋体" w:cs="宋体"/>
                <w:sz w:val="19"/>
                <w:szCs w:val="19"/>
              </w:rPr>
              <w:t>1</w:t>
            </w:r>
          </w:p>
        </w:tc>
        <w:tc>
          <w:tcPr>
            <w:tcW w:w="1118" w:type="dxa"/>
            <w:tcBorders>
              <w:top w:val="single" w:color="000000" w:sz="2" w:space="0"/>
              <w:bottom w:val="single" w:color="000000" w:sz="2" w:space="0"/>
            </w:tcBorders>
            <w:vAlign w:val="top"/>
          </w:tcPr>
          <w:p w14:paraId="31637259">
            <w:pPr>
              <w:pStyle w:val="8"/>
              <w:spacing w:line="243" w:lineRule="auto"/>
            </w:pPr>
          </w:p>
          <w:p w14:paraId="55EA30B2">
            <w:pPr>
              <w:pStyle w:val="8"/>
              <w:spacing w:line="243" w:lineRule="auto"/>
            </w:pPr>
          </w:p>
          <w:p w14:paraId="548D1EC3">
            <w:pPr>
              <w:pStyle w:val="8"/>
              <w:spacing w:line="243" w:lineRule="auto"/>
            </w:pPr>
          </w:p>
          <w:p w14:paraId="2D5C949A">
            <w:pPr>
              <w:pStyle w:val="8"/>
              <w:spacing w:line="243" w:lineRule="auto"/>
            </w:pPr>
          </w:p>
          <w:p w14:paraId="5452DD69">
            <w:pPr>
              <w:pStyle w:val="8"/>
              <w:spacing w:line="243" w:lineRule="auto"/>
            </w:pPr>
          </w:p>
          <w:p w14:paraId="42335372">
            <w:pPr>
              <w:pStyle w:val="8"/>
              <w:spacing w:line="244" w:lineRule="auto"/>
            </w:pPr>
          </w:p>
          <w:p w14:paraId="7BAE74E2">
            <w:pPr>
              <w:pStyle w:val="8"/>
              <w:spacing w:line="244" w:lineRule="auto"/>
            </w:pPr>
          </w:p>
          <w:p w14:paraId="0C0CA510">
            <w:pPr>
              <w:pStyle w:val="8"/>
              <w:spacing w:line="244" w:lineRule="auto"/>
            </w:pPr>
          </w:p>
          <w:p w14:paraId="34D7A438">
            <w:pPr>
              <w:pStyle w:val="8"/>
              <w:spacing w:line="244" w:lineRule="auto"/>
            </w:pPr>
          </w:p>
          <w:p w14:paraId="27560118">
            <w:pPr>
              <w:pStyle w:val="8"/>
              <w:spacing w:line="244" w:lineRule="auto"/>
            </w:pPr>
          </w:p>
          <w:p w14:paraId="746BAA68">
            <w:pPr>
              <w:spacing w:before="62" w:line="241" w:lineRule="auto"/>
              <w:ind w:left="513"/>
              <w:rPr>
                <w:rFonts w:ascii="宋体" w:hAnsi="宋体" w:eastAsia="宋体" w:cs="宋体"/>
                <w:sz w:val="19"/>
                <w:szCs w:val="19"/>
              </w:rPr>
            </w:pPr>
            <w:r>
              <w:rPr>
                <w:rFonts w:ascii="宋体" w:hAnsi="宋体" w:eastAsia="宋体" w:cs="宋体"/>
                <w:sz w:val="19"/>
                <w:szCs w:val="19"/>
              </w:rPr>
              <w:t>1</w:t>
            </w:r>
          </w:p>
        </w:tc>
        <w:tc>
          <w:tcPr>
            <w:tcW w:w="1176" w:type="dxa"/>
            <w:tcBorders>
              <w:top w:val="single" w:color="000000" w:sz="2" w:space="0"/>
              <w:bottom w:val="single" w:color="000000" w:sz="2" w:space="0"/>
            </w:tcBorders>
            <w:vAlign w:val="top"/>
          </w:tcPr>
          <w:p w14:paraId="1A6619EF">
            <w:pPr>
              <w:pStyle w:val="8"/>
              <w:spacing w:line="243" w:lineRule="auto"/>
            </w:pPr>
          </w:p>
          <w:p w14:paraId="084FDC07">
            <w:pPr>
              <w:pStyle w:val="8"/>
              <w:spacing w:line="243" w:lineRule="auto"/>
            </w:pPr>
          </w:p>
          <w:p w14:paraId="7E98D260">
            <w:pPr>
              <w:pStyle w:val="8"/>
              <w:spacing w:line="243" w:lineRule="auto"/>
            </w:pPr>
          </w:p>
          <w:p w14:paraId="46225DB0">
            <w:pPr>
              <w:pStyle w:val="8"/>
              <w:spacing w:line="243" w:lineRule="auto"/>
            </w:pPr>
          </w:p>
          <w:p w14:paraId="64069FCF">
            <w:pPr>
              <w:pStyle w:val="8"/>
              <w:spacing w:line="243" w:lineRule="auto"/>
            </w:pPr>
          </w:p>
          <w:p w14:paraId="6A554D83">
            <w:pPr>
              <w:pStyle w:val="8"/>
              <w:spacing w:line="244" w:lineRule="auto"/>
            </w:pPr>
          </w:p>
          <w:p w14:paraId="2C6D9280">
            <w:pPr>
              <w:pStyle w:val="8"/>
              <w:spacing w:line="244" w:lineRule="auto"/>
            </w:pPr>
          </w:p>
          <w:p w14:paraId="679EB575">
            <w:pPr>
              <w:pStyle w:val="8"/>
              <w:spacing w:line="244" w:lineRule="auto"/>
            </w:pPr>
          </w:p>
          <w:p w14:paraId="49BBA827">
            <w:pPr>
              <w:pStyle w:val="8"/>
              <w:spacing w:line="244" w:lineRule="auto"/>
            </w:pPr>
          </w:p>
          <w:p w14:paraId="69F7EC04">
            <w:pPr>
              <w:pStyle w:val="8"/>
              <w:spacing w:line="244" w:lineRule="auto"/>
            </w:pPr>
          </w:p>
          <w:p w14:paraId="3D064389">
            <w:pPr>
              <w:spacing w:before="62" w:line="241" w:lineRule="auto"/>
              <w:ind w:left="544"/>
              <w:rPr>
                <w:rFonts w:ascii="宋体" w:hAnsi="宋体" w:eastAsia="宋体" w:cs="宋体"/>
                <w:sz w:val="19"/>
                <w:szCs w:val="19"/>
              </w:rPr>
            </w:pPr>
            <w:r>
              <w:rPr>
                <w:rFonts w:ascii="宋体" w:hAnsi="宋体" w:eastAsia="宋体" w:cs="宋体"/>
                <w:sz w:val="19"/>
                <w:szCs w:val="19"/>
              </w:rPr>
              <w:t>1</w:t>
            </w:r>
          </w:p>
        </w:tc>
        <w:tc>
          <w:tcPr>
            <w:tcW w:w="1585" w:type="dxa"/>
            <w:tcBorders>
              <w:top w:val="single" w:color="000000" w:sz="2" w:space="0"/>
              <w:bottom w:val="single" w:color="000000" w:sz="2" w:space="0"/>
            </w:tcBorders>
            <w:vAlign w:val="top"/>
          </w:tcPr>
          <w:p w14:paraId="6CDAC9DD">
            <w:pPr>
              <w:pStyle w:val="8"/>
              <w:spacing w:line="244" w:lineRule="auto"/>
            </w:pPr>
          </w:p>
          <w:p w14:paraId="389E9FF8">
            <w:pPr>
              <w:pStyle w:val="8"/>
              <w:spacing w:line="244" w:lineRule="auto"/>
            </w:pPr>
          </w:p>
          <w:p w14:paraId="365874CA">
            <w:pPr>
              <w:pStyle w:val="8"/>
              <w:spacing w:line="244" w:lineRule="auto"/>
            </w:pPr>
          </w:p>
          <w:p w14:paraId="05BC40D1">
            <w:pPr>
              <w:pStyle w:val="8"/>
              <w:spacing w:line="244" w:lineRule="auto"/>
            </w:pPr>
          </w:p>
          <w:p w14:paraId="30602FAB">
            <w:pPr>
              <w:pStyle w:val="8"/>
              <w:spacing w:line="244" w:lineRule="auto"/>
            </w:pPr>
          </w:p>
          <w:p w14:paraId="455E2740">
            <w:pPr>
              <w:pStyle w:val="8"/>
              <w:spacing w:line="245" w:lineRule="auto"/>
            </w:pPr>
          </w:p>
          <w:p w14:paraId="5B3B476F">
            <w:pPr>
              <w:pStyle w:val="8"/>
              <w:spacing w:line="245" w:lineRule="auto"/>
            </w:pPr>
          </w:p>
          <w:p w14:paraId="41B3ABFB">
            <w:pPr>
              <w:pStyle w:val="8"/>
              <w:spacing w:line="245" w:lineRule="auto"/>
            </w:pPr>
          </w:p>
          <w:p w14:paraId="1F06CC5D">
            <w:pPr>
              <w:pStyle w:val="8"/>
              <w:spacing w:line="245" w:lineRule="auto"/>
            </w:pPr>
          </w:p>
          <w:p w14:paraId="4C778A94">
            <w:pPr>
              <w:pStyle w:val="8"/>
              <w:spacing w:line="245" w:lineRule="auto"/>
            </w:pPr>
          </w:p>
          <w:p w14:paraId="0CF32C33">
            <w:pPr>
              <w:spacing w:before="61" w:line="241" w:lineRule="auto"/>
              <w:ind w:left="755"/>
              <w:rPr>
                <w:rFonts w:ascii="宋体" w:hAnsi="宋体" w:eastAsia="宋体" w:cs="宋体"/>
                <w:sz w:val="19"/>
                <w:szCs w:val="19"/>
              </w:rPr>
            </w:pPr>
            <w:r>
              <w:rPr>
                <w:rFonts w:ascii="宋体" w:hAnsi="宋体" w:eastAsia="宋体" w:cs="宋体"/>
                <w:sz w:val="19"/>
                <w:szCs w:val="19"/>
              </w:rPr>
              <w:t>1</w:t>
            </w:r>
          </w:p>
        </w:tc>
        <w:tc>
          <w:tcPr>
            <w:tcW w:w="1760" w:type="dxa"/>
            <w:tcBorders>
              <w:top w:val="single" w:color="000000" w:sz="2" w:space="0"/>
              <w:bottom w:val="single" w:color="000000" w:sz="2" w:space="0"/>
            </w:tcBorders>
            <w:vAlign w:val="top"/>
          </w:tcPr>
          <w:p w14:paraId="662B58AF">
            <w:pPr>
              <w:pStyle w:val="8"/>
            </w:pPr>
          </w:p>
        </w:tc>
        <w:tc>
          <w:tcPr>
            <w:tcW w:w="1092" w:type="dxa"/>
            <w:tcBorders>
              <w:top w:val="single" w:color="000000" w:sz="2" w:space="0"/>
              <w:bottom w:val="single" w:color="000000" w:sz="2" w:space="0"/>
            </w:tcBorders>
            <w:vAlign w:val="top"/>
          </w:tcPr>
          <w:p w14:paraId="64C43735">
            <w:pPr>
              <w:pStyle w:val="8"/>
              <w:spacing w:line="244" w:lineRule="auto"/>
            </w:pPr>
          </w:p>
          <w:p w14:paraId="70930A07">
            <w:pPr>
              <w:pStyle w:val="8"/>
              <w:spacing w:line="244" w:lineRule="auto"/>
            </w:pPr>
          </w:p>
          <w:p w14:paraId="7E3900D1">
            <w:pPr>
              <w:pStyle w:val="8"/>
              <w:spacing w:line="244" w:lineRule="auto"/>
            </w:pPr>
          </w:p>
          <w:p w14:paraId="0AB62953">
            <w:pPr>
              <w:pStyle w:val="8"/>
              <w:spacing w:line="244" w:lineRule="auto"/>
            </w:pPr>
          </w:p>
          <w:p w14:paraId="1C0B86DA">
            <w:pPr>
              <w:pStyle w:val="8"/>
              <w:spacing w:line="244" w:lineRule="auto"/>
            </w:pPr>
          </w:p>
          <w:p w14:paraId="4BA499FB">
            <w:pPr>
              <w:pStyle w:val="8"/>
              <w:spacing w:line="245" w:lineRule="auto"/>
            </w:pPr>
          </w:p>
          <w:p w14:paraId="5F1777C4">
            <w:pPr>
              <w:pStyle w:val="8"/>
              <w:spacing w:line="245" w:lineRule="auto"/>
            </w:pPr>
          </w:p>
          <w:p w14:paraId="309C3BFF">
            <w:pPr>
              <w:pStyle w:val="8"/>
              <w:spacing w:line="245" w:lineRule="auto"/>
            </w:pPr>
          </w:p>
          <w:p w14:paraId="38D5F434">
            <w:pPr>
              <w:pStyle w:val="8"/>
              <w:spacing w:line="245" w:lineRule="auto"/>
            </w:pPr>
          </w:p>
          <w:p w14:paraId="264F0457">
            <w:pPr>
              <w:pStyle w:val="8"/>
              <w:spacing w:line="245" w:lineRule="auto"/>
            </w:pPr>
          </w:p>
          <w:p w14:paraId="2A67F5F3">
            <w:pPr>
              <w:spacing w:before="62" w:line="239" w:lineRule="auto"/>
              <w:ind w:left="408"/>
              <w:rPr>
                <w:rFonts w:ascii="宋体" w:hAnsi="宋体" w:eastAsia="宋体" w:cs="宋体"/>
                <w:sz w:val="19"/>
                <w:szCs w:val="19"/>
              </w:rPr>
            </w:pPr>
            <w:r>
              <w:rPr>
                <w:rFonts w:ascii="宋体" w:hAnsi="宋体" w:eastAsia="宋体" w:cs="宋体"/>
                <w:spacing w:val="-5"/>
                <w:sz w:val="19"/>
                <w:szCs w:val="19"/>
              </w:rPr>
              <w:t>140</w:t>
            </w:r>
          </w:p>
        </w:tc>
        <w:tc>
          <w:tcPr>
            <w:tcW w:w="1322" w:type="dxa"/>
            <w:tcBorders>
              <w:top w:val="single" w:color="000000" w:sz="2" w:space="0"/>
              <w:bottom w:val="single" w:color="000000" w:sz="2" w:space="0"/>
            </w:tcBorders>
            <w:vAlign w:val="top"/>
          </w:tcPr>
          <w:p w14:paraId="526A2492">
            <w:pPr>
              <w:pStyle w:val="8"/>
            </w:pPr>
          </w:p>
        </w:tc>
        <w:tc>
          <w:tcPr>
            <w:tcW w:w="1357" w:type="dxa"/>
            <w:tcBorders>
              <w:top w:val="single" w:color="000000" w:sz="2" w:space="0"/>
              <w:bottom w:val="single" w:color="000000" w:sz="2" w:space="0"/>
            </w:tcBorders>
            <w:vAlign w:val="top"/>
          </w:tcPr>
          <w:p w14:paraId="54750E0E">
            <w:pPr>
              <w:pStyle w:val="8"/>
            </w:pPr>
          </w:p>
        </w:tc>
      </w:tr>
    </w:tbl>
    <w:p w14:paraId="343A15D7">
      <w:pPr>
        <w:spacing w:line="14" w:lineRule="auto"/>
        <w:rPr>
          <w:rFonts w:ascii="Arial"/>
          <w:sz w:val="2"/>
        </w:rPr>
      </w:pPr>
    </w:p>
    <w:p w14:paraId="6EF13E84">
      <w:pPr>
        <w:spacing w:line="14" w:lineRule="auto"/>
        <w:rPr>
          <w:rFonts w:ascii="Arial"/>
          <w:sz w:val="2"/>
        </w:rPr>
      </w:pPr>
      <w:r>
        <w:rPr>
          <w:rFonts w:ascii="Arial" w:hAnsi="Arial" w:eastAsia="Arial" w:cs="Arial"/>
          <w:sz w:val="2"/>
          <w:szCs w:val="2"/>
        </w:rPr>
        <w:br w:type="column"/>
      </w:r>
    </w:p>
    <w:p w14:paraId="1434FE7E">
      <w:pPr>
        <w:spacing w:line="260" w:lineRule="auto"/>
        <w:rPr>
          <w:rFonts w:ascii="Arial"/>
          <w:sz w:val="21"/>
        </w:rPr>
      </w:pPr>
      <w:r>
        <mc:AlternateContent>
          <mc:Choice Requires="wps">
            <w:drawing>
              <wp:anchor distT="0" distB="0" distL="0" distR="0" simplePos="0" relativeHeight="251659264" behindDoc="0" locked="0" layoutInCell="1" allowOverlap="1">
                <wp:simplePos x="0" y="0"/>
                <wp:positionH relativeFrom="column">
                  <wp:posOffset>-341630</wp:posOffset>
                </wp:positionH>
                <wp:positionV relativeFrom="paragraph">
                  <wp:posOffset>544195</wp:posOffset>
                </wp:positionV>
                <wp:extent cx="1296670" cy="255905"/>
                <wp:effectExtent l="0" t="0" r="0" b="0"/>
                <wp:wrapNone/>
                <wp:docPr id="10" name="TextBox 10"/>
                <wp:cNvGraphicFramePr/>
                <a:graphic xmlns:a="http://schemas.openxmlformats.org/drawingml/2006/main">
                  <a:graphicData uri="http://schemas.microsoft.com/office/word/2010/wordprocessingShape">
                    <wps:wsp>
                      <wps:cNvSpPr txBox="1"/>
                      <wps:spPr>
                        <a:xfrm rot="16200000">
                          <a:off x="-341852" y="544234"/>
                          <a:ext cx="1296669" cy="25590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55908383">
                            <w:pPr>
                              <w:spacing w:before="70" w:line="221" w:lineRule="auto"/>
                              <w:rPr>
                                <w:rFonts w:ascii="宋体" w:hAnsi="宋体" w:eastAsia="宋体" w:cs="宋体"/>
                                <w:sz w:val="26"/>
                                <w:szCs w:val="26"/>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0" o:spid="_x0000_s1026" o:spt="202" type="#_x0000_t202" style="position:absolute;left:0pt;margin-left:-26.9pt;margin-top:42.85pt;height:20.15pt;width:102.1pt;rotation:-5898240f;z-index:251659264;mso-width-relative:page;mso-height-relative:page;" filled="f" stroked="f" coordsize="21600,21600" o:gfxdata="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SgdW2QAAAAoBAAAP&#10;AAAAAAAAAAEAIAAAACIAAABkcnMvZG93bnJldi54bWxQSwECFAAUAAAACACHTuJAyxEtdFACAACj&#10;BAAADgAAAAAAAAABACAAAAAoAQAAZHJzL2Uyb0RvYy54bWxQSwUGAAAAAAYABgBZAQAA6gUAAAAA&#10;">
                <v:fill on="f" focussize="0,0"/>
                <v:stroke on="f" weight="0pt" miterlimit="0" joinstyle="miter"/>
                <v:imagedata o:title=""/>
                <o:lock v:ext="edit" aspectratio="f"/>
                <v:textbox inset="0mm,0mm,0mm,0mm">
                  <w:txbxContent>
                    <w:p w14:paraId="55908383">
                      <w:pPr>
                        <w:spacing w:before="70" w:line="221" w:lineRule="auto"/>
                        <w:rPr>
                          <w:rFonts w:ascii="宋体" w:hAnsi="宋体" w:eastAsia="宋体" w:cs="宋体"/>
                          <w:sz w:val="26"/>
                          <w:szCs w:val="26"/>
                        </w:rPr>
                      </w:pPr>
                    </w:p>
                  </w:txbxContent>
                </v:textbox>
              </v:shape>
            </w:pict>
          </mc:Fallback>
        </mc:AlternateContent>
      </w:r>
    </w:p>
    <w:p w14:paraId="1FE30CD5">
      <w:pPr>
        <w:spacing w:line="260" w:lineRule="auto"/>
        <w:rPr>
          <w:rFonts w:ascii="Arial"/>
          <w:sz w:val="21"/>
        </w:rPr>
      </w:pPr>
    </w:p>
    <w:p w14:paraId="2C5CDD15">
      <w:pPr>
        <w:spacing w:line="260" w:lineRule="auto"/>
        <w:rPr>
          <w:rFonts w:ascii="Arial"/>
          <w:sz w:val="21"/>
        </w:rPr>
      </w:pPr>
    </w:p>
    <w:p w14:paraId="430DB841">
      <w:pPr>
        <w:spacing w:line="261" w:lineRule="auto"/>
        <w:rPr>
          <w:rFonts w:ascii="Arial"/>
          <w:sz w:val="21"/>
        </w:rPr>
      </w:pPr>
    </w:p>
    <w:p w14:paraId="14EA2024">
      <w:pPr>
        <w:spacing w:line="261" w:lineRule="auto"/>
        <w:rPr>
          <w:rFonts w:ascii="Arial"/>
          <w:sz w:val="21"/>
        </w:rPr>
      </w:pPr>
    </w:p>
    <w:p w14:paraId="4730D7DA">
      <w:pPr>
        <w:spacing w:line="261" w:lineRule="auto"/>
        <w:rPr>
          <w:rFonts w:ascii="Arial"/>
          <w:sz w:val="21"/>
        </w:rPr>
      </w:pPr>
    </w:p>
    <w:p w14:paraId="2F6B0A5D">
      <w:pPr>
        <w:spacing w:line="261" w:lineRule="auto"/>
        <w:rPr>
          <w:rFonts w:ascii="Arial"/>
          <w:sz w:val="21"/>
        </w:rPr>
      </w:pPr>
    </w:p>
    <w:p w14:paraId="21684A9C">
      <w:pPr>
        <w:spacing w:line="261" w:lineRule="auto"/>
        <w:rPr>
          <w:rFonts w:ascii="Arial"/>
          <w:sz w:val="21"/>
        </w:rPr>
      </w:pPr>
    </w:p>
    <w:p w14:paraId="1DE65C1B">
      <w:pPr>
        <w:spacing w:line="590" w:lineRule="exact"/>
        <w:ind w:firstLine="129"/>
      </w:pPr>
    </w:p>
    <w:p w14:paraId="63F55B8E">
      <w:pPr>
        <w:spacing w:line="590" w:lineRule="exact"/>
        <w:sectPr>
          <w:footerReference r:id="rId6" w:type="default"/>
          <w:pgSz w:w="16840" w:h="11900"/>
          <w:pgMar w:top="299" w:right="189" w:bottom="1339" w:left="925" w:header="0" w:footer="962" w:gutter="0"/>
          <w:cols w:equalWidth="0" w:num="2">
            <w:col w:w="14905" w:space="100"/>
            <w:col w:w="720"/>
          </w:cols>
        </w:sectPr>
      </w:pPr>
    </w:p>
    <w:p w14:paraId="1C3783BD">
      <w:pPr>
        <w:spacing w:line="241" w:lineRule="auto"/>
        <w:rPr>
          <w:rFonts w:ascii="Arial"/>
          <w:sz w:val="21"/>
        </w:rPr>
      </w:pPr>
    </w:p>
    <w:p w14:paraId="1A4327B7">
      <w:pPr>
        <w:spacing w:before="98" w:line="224" w:lineRule="auto"/>
        <w:ind w:left="119"/>
        <w:rPr>
          <w:rFonts w:hint="eastAsia" w:ascii="黑体" w:hAnsi="黑体" w:eastAsia="黑体" w:cs="黑体"/>
          <w:sz w:val="30"/>
          <w:szCs w:val="30"/>
          <w:lang w:val="en-US" w:eastAsia="zh-CN"/>
        </w:rPr>
      </w:pPr>
      <w:r>
        <w:rPr>
          <w:rFonts w:ascii="黑体" w:hAnsi="黑体" w:eastAsia="黑体" w:cs="黑体"/>
          <w:b/>
          <w:bCs/>
          <w:spacing w:val="-1"/>
          <w:sz w:val="30"/>
          <w:szCs w:val="30"/>
        </w:rPr>
        <w:t>附件</w:t>
      </w:r>
      <w:r>
        <w:rPr>
          <w:rFonts w:hint="eastAsia" w:ascii="黑体" w:hAnsi="黑体" w:eastAsia="黑体" w:cs="黑体"/>
          <w:b/>
          <w:bCs/>
          <w:spacing w:val="-1"/>
          <w:sz w:val="30"/>
          <w:szCs w:val="30"/>
          <w:lang w:val="en-US" w:eastAsia="zh-CN"/>
        </w:rPr>
        <w:t>2</w:t>
      </w:r>
    </w:p>
    <w:p w14:paraId="00C55BFD">
      <w:pPr>
        <w:spacing w:line="245" w:lineRule="auto"/>
        <w:rPr>
          <w:rFonts w:ascii="Arial"/>
          <w:sz w:val="21"/>
        </w:rPr>
      </w:pPr>
    </w:p>
    <w:p w14:paraId="1B63C794">
      <w:pPr>
        <w:spacing w:line="246" w:lineRule="auto"/>
        <w:rPr>
          <w:rFonts w:ascii="Arial"/>
          <w:sz w:val="21"/>
        </w:rPr>
      </w:pPr>
    </w:p>
    <w:p w14:paraId="302D59E5">
      <w:pPr>
        <w:spacing w:line="246" w:lineRule="auto"/>
        <w:rPr>
          <w:rFonts w:ascii="Arial"/>
          <w:sz w:val="21"/>
        </w:rPr>
      </w:pPr>
    </w:p>
    <w:p w14:paraId="46849C46">
      <w:pPr>
        <w:spacing w:line="246" w:lineRule="auto"/>
        <w:rPr>
          <w:rFonts w:ascii="Arial"/>
          <w:sz w:val="21"/>
        </w:rPr>
      </w:pPr>
    </w:p>
    <w:p w14:paraId="702822F4">
      <w:pPr>
        <w:spacing w:before="133" w:line="219" w:lineRule="auto"/>
        <w:ind w:left="2650"/>
        <w:rPr>
          <w:rFonts w:ascii="宋体" w:hAnsi="宋体" w:eastAsia="宋体" w:cs="宋体"/>
          <w:sz w:val="41"/>
          <w:szCs w:val="41"/>
        </w:rPr>
      </w:pPr>
      <w:r>
        <w:rPr>
          <w:rFonts w:ascii="宋体" w:hAnsi="宋体" w:eastAsia="宋体" w:cs="宋体"/>
          <w:b/>
          <w:bCs/>
          <w:spacing w:val="-4"/>
          <w:sz w:val="41"/>
          <w:szCs w:val="41"/>
        </w:rPr>
        <w:t>肥情监测通二维码</w:t>
      </w:r>
    </w:p>
    <w:p w14:paraId="3201140B">
      <w:pPr>
        <w:spacing w:before="65" w:line="4020" w:lineRule="exact"/>
        <w:ind w:firstLine="2305"/>
      </w:pPr>
      <w:r>
        <w:rPr>
          <w:position w:val="-80"/>
        </w:rPr>
        <w:drawing>
          <wp:inline distT="0" distB="0" distL="0" distR="0">
            <wp:extent cx="2545715" cy="255206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0"/>
                    <a:stretch>
                      <a:fillRect/>
                    </a:stretch>
                  </pic:blipFill>
                  <pic:spPr>
                    <a:xfrm>
                      <a:off x="0" y="0"/>
                      <a:ext cx="2546313" cy="2552621"/>
                    </a:xfrm>
                    <a:prstGeom prst="rect">
                      <a:avLst/>
                    </a:prstGeom>
                  </pic:spPr>
                </pic:pic>
              </a:graphicData>
            </a:graphic>
          </wp:inline>
        </w:drawing>
      </w:r>
    </w:p>
    <w:p w14:paraId="6E83832C">
      <w:pPr>
        <w:spacing w:line="244" w:lineRule="auto"/>
        <w:rPr>
          <w:rFonts w:ascii="Arial"/>
          <w:sz w:val="21"/>
        </w:rPr>
      </w:pPr>
    </w:p>
    <w:p w14:paraId="0687AD10">
      <w:pPr>
        <w:spacing w:line="244" w:lineRule="auto"/>
        <w:rPr>
          <w:rFonts w:ascii="Arial"/>
          <w:sz w:val="21"/>
        </w:rPr>
      </w:pPr>
    </w:p>
    <w:p w14:paraId="3846D1A2">
      <w:pPr>
        <w:spacing w:line="244" w:lineRule="auto"/>
        <w:rPr>
          <w:rFonts w:ascii="Arial"/>
          <w:sz w:val="21"/>
        </w:rPr>
      </w:pPr>
    </w:p>
    <w:p w14:paraId="5FC73218">
      <w:pPr>
        <w:spacing w:line="244" w:lineRule="auto"/>
        <w:rPr>
          <w:rFonts w:ascii="Arial"/>
          <w:sz w:val="21"/>
        </w:rPr>
      </w:pPr>
    </w:p>
    <w:p w14:paraId="2FAF1B1D">
      <w:pPr>
        <w:spacing w:line="244" w:lineRule="auto"/>
        <w:rPr>
          <w:rFonts w:ascii="Arial"/>
          <w:sz w:val="21"/>
        </w:rPr>
      </w:pPr>
    </w:p>
    <w:p w14:paraId="0E2B0378">
      <w:pPr>
        <w:spacing w:line="244" w:lineRule="auto"/>
        <w:rPr>
          <w:rFonts w:ascii="Arial"/>
          <w:sz w:val="21"/>
        </w:rPr>
      </w:pPr>
    </w:p>
    <w:p w14:paraId="0171F4DA">
      <w:pPr>
        <w:spacing w:line="244" w:lineRule="auto"/>
        <w:rPr>
          <w:rFonts w:ascii="Arial"/>
          <w:sz w:val="21"/>
        </w:rPr>
      </w:pPr>
    </w:p>
    <w:p w14:paraId="290CA76D">
      <w:pPr>
        <w:spacing w:line="245" w:lineRule="auto"/>
        <w:rPr>
          <w:rFonts w:ascii="Arial"/>
          <w:sz w:val="21"/>
        </w:rPr>
      </w:pPr>
    </w:p>
    <w:p w14:paraId="6860DFA3">
      <w:pPr>
        <w:spacing w:line="245" w:lineRule="auto"/>
        <w:rPr>
          <w:rFonts w:ascii="Arial"/>
          <w:sz w:val="21"/>
        </w:rPr>
      </w:pPr>
    </w:p>
    <w:p w14:paraId="76CBF202">
      <w:pPr>
        <w:spacing w:line="245" w:lineRule="auto"/>
        <w:rPr>
          <w:rFonts w:ascii="Arial"/>
          <w:sz w:val="21"/>
        </w:rPr>
      </w:pPr>
    </w:p>
    <w:p w14:paraId="2CB8474B">
      <w:pPr>
        <w:spacing w:line="245" w:lineRule="auto"/>
        <w:rPr>
          <w:rFonts w:ascii="Arial"/>
          <w:sz w:val="21"/>
        </w:rPr>
      </w:pPr>
    </w:p>
    <w:p w14:paraId="4D9DF1BD">
      <w:pPr>
        <w:spacing w:line="245" w:lineRule="auto"/>
        <w:rPr>
          <w:rFonts w:ascii="Arial"/>
          <w:sz w:val="21"/>
        </w:rPr>
      </w:pPr>
    </w:p>
    <w:p w14:paraId="1DF0B9BD">
      <w:pPr>
        <w:spacing w:line="245" w:lineRule="auto"/>
        <w:rPr>
          <w:rFonts w:ascii="Arial"/>
          <w:sz w:val="21"/>
        </w:rPr>
      </w:pPr>
    </w:p>
    <w:p w14:paraId="34B77260">
      <w:pPr>
        <w:spacing w:line="245" w:lineRule="auto"/>
        <w:rPr>
          <w:rFonts w:ascii="Arial"/>
          <w:sz w:val="21"/>
        </w:rPr>
      </w:pPr>
    </w:p>
    <w:p w14:paraId="51A398AD">
      <w:pPr>
        <w:spacing w:line="245" w:lineRule="auto"/>
        <w:rPr>
          <w:rFonts w:ascii="Arial"/>
          <w:sz w:val="21"/>
        </w:rPr>
      </w:pPr>
    </w:p>
    <w:p w14:paraId="7A841B80">
      <w:pPr>
        <w:spacing w:line="245" w:lineRule="auto"/>
        <w:rPr>
          <w:rFonts w:ascii="Arial"/>
          <w:sz w:val="21"/>
        </w:rPr>
      </w:pPr>
    </w:p>
    <w:p w14:paraId="6FEF4F53">
      <w:pPr>
        <w:spacing w:line="245" w:lineRule="auto"/>
        <w:rPr>
          <w:rFonts w:ascii="Arial"/>
          <w:sz w:val="21"/>
        </w:rPr>
      </w:pPr>
    </w:p>
    <w:p w14:paraId="5298D832">
      <w:pPr>
        <w:spacing w:line="245" w:lineRule="auto"/>
        <w:rPr>
          <w:rFonts w:ascii="Arial"/>
          <w:sz w:val="21"/>
        </w:rPr>
      </w:pPr>
    </w:p>
    <w:p w14:paraId="544AE489">
      <w:pPr>
        <w:spacing w:line="245" w:lineRule="auto"/>
        <w:rPr>
          <w:rFonts w:ascii="Arial"/>
          <w:sz w:val="21"/>
        </w:rPr>
      </w:pPr>
    </w:p>
    <w:p w14:paraId="6C289959">
      <w:pPr>
        <w:spacing w:line="245" w:lineRule="auto"/>
        <w:rPr>
          <w:rFonts w:ascii="Arial"/>
          <w:sz w:val="21"/>
        </w:rPr>
      </w:pPr>
    </w:p>
    <w:p w14:paraId="0D386E12">
      <w:pPr>
        <w:spacing w:line="245" w:lineRule="auto"/>
        <w:rPr>
          <w:rFonts w:ascii="Arial"/>
          <w:sz w:val="21"/>
        </w:rPr>
      </w:pPr>
    </w:p>
    <w:p w14:paraId="28042C53">
      <w:pPr>
        <w:spacing w:line="245" w:lineRule="auto"/>
        <w:rPr>
          <w:rFonts w:ascii="Arial"/>
          <w:sz w:val="21"/>
        </w:rPr>
      </w:pPr>
    </w:p>
    <w:p w14:paraId="7EB03CD4">
      <w:pPr>
        <w:spacing w:line="245" w:lineRule="auto"/>
        <w:rPr>
          <w:rFonts w:ascii="Arial"/>
          <w:sz w:val="21"/>
        </w:rPr>
      </w:pPr>
    </w:p>
    <w:p w14:paraId="3AA454BC">
      <w:pPr>
        <w:spacing w:line="245" w:lineRule="auto"/>
        <w:rPr>
          <w:rFonts w:ascii="Arial"/>
          <w:sz w:val="21"/>
        </w:rPr>
      </w:pPr>
    </w:p>
    <w:p w14:paraId="46E4BDFA">
      <w:pPr>
        <w:spacing w:line="245" w:lineRule="auto"/>
        <w:rPr>
          <w:rFonts w:ascii="Arial"/>
          <w:sz w:val="21"/>
        </w:rPr>
      </w:pPr>
    </w:p>
    <w:p w14:paraId="04788CC7">
      <w:pPr>
        <w:spacing w:line="245" w:lineRule="auto"/>
        <w:rPr>
          <w:rFonts w:ascii="Arial"/>
          <w:sz w:val="21"/>
        </w:rPr>
      </w:pPr>
    </w:p>
    <w:p w14:paraId="72A76238">
      <w:pPr>
        <w:spacing w:line="245" w:lineRule="auto"/>
        <w:rPr>
          <w:rFonts w:ascii="Arial"/>
          <w:sz w:val="21"/>
        </w:rPr>
      </w:pPr>
    </w:p>
    <w:p w14:paraId="4CCAAC37">
      <w:pPr>
        <w:spacing w:line="245" w:lineRule="auto"/>
        <w:rPr>
          <w:rFonts w:ascii="Arial"/>
          <w:sz w:val="21"/>
        </w:rPr>
      </w:pPr>
    </w:p>
    <w:p w14:paraId="4D99F560">
      <w:pPr>
        <w:spacing w:line="245" w:lineRule="auto"/>
        <w:rPr>
          <w:rFonts w:ascii="Arial"/>
          <w:sz w:val="21"/>
        </w:rPr>
      </w:pPr>
    </w:p>
    <w:p w14:paraId="1FAF6110">
      <w:pPr>
        <w:spacing w:line="245" w:lineRule="auto"/>
        <w:rPr>
          <w:rFonts w:ascii="Arial"/>
          <w:sz w:val="21"/>
        </w:rPr>
      </w:pPr>
    </w:p>
    <w:p w14:paraId="1706143D">
      <w:pPr>
        <w:spacing w:line="245" w:lineRule="auto"/>
        <w:rPr>
          <w:rFonts w:ascii="Arial"/>
          <w:sz w:val="21"/>
        </w:rPr>
      </w:pPr>
    </w:p>
    <w:p w14:paraId="3C3E0835">
      <w:pPr>
        <w:spacing w:line="245" w:lineRule="auto"/>
        <w:rPr>
          <w:rFonts w:ascii="Arial"/>
          <w:sz w:val="21"/>
        </w:rPr>
      </w:pPr>
    </w:p>
    <w:p w14:paraId="3283B9F5">
      <w:pPr>
        <w:spacing w:line="245" w:lineRule="auto"/>
        <w:rPr>
          <w:rFonts w:ascii="Arial"/>
          <w:sz w:val="21"/>
        </w:rPr>
      </w:pPr>
      <w:r>
        <w:drawing>
          <wp:anchor distT="0" distB="0" distL="0" distR="0" simplePos="0" relativeHeight="251660288" behindDoc="0" locked="0" layoutInCell="1" allowOverlap="1">
            <wp:simplePos x="0" y="0"/>
            <wp:positionH relativeFrom="column">
              <wp:posOffset>5768975</wp:posOffset>
            </wp:positionH>
            <wp:positionV relativeFrom="paragraph">
              <wp:posOffset>106680</wp:posOffset>
            </wp:positionV>
            <wp:extent cx="450850" cy="635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1"/>
                    <a:stretch>
                      <a:fillRect/>
                    </a:stretch>
                  </pic:blipFill>
                  <pic:spPr>
                    <a:xfrm>
                      <a:off x="0" y="0"/>
                      <a:ext cx="450820" cy="6416"/>
                    </a:xfrm>
                    <a:prstGeom prst="rect">
                      <a:avLst/>
                    </a:prstGeom>
                  </pic:spPr>
                </pic:pic>
              </a:graphicData>
            </a:graphic>
          </wp:anchor>
        </w:drawing>
      </w:r>
    </w:p>
    <w:p w14:paraId="0522B3DC">
      <w:pPr>
        <w:spacing w:before="82"/>
        <w:ind w:left="7135"/>
        <w:rPr>
          <w:rFonts w:ascii="宋体" w:hAnsi="宋体" w:eastAsia="宋体" w:cs="宋体"/>
          <w:sz w:val="25"/>
          <w:szCs w:val="25"/>
        </w:rPr>
        <w:sectPr>
          <w:footerReference r:id="rId7" w:type="default"/>
          <w:pgSz w:w="11900" w:h="16840"/>
          <w:pgMar w:top="1431" w:right="319" w:bottom="200" w:left="1785" w:header="0" w:footer="0" w:gutter="0"/>
          <w:cols w:space="720" w:num="1"/>
        </w:sectPr>
      </w:pPr>
      <w:r>
        <w:rPr>
          <w:rFonts w:ascii="宋体" w:hAnsi="宋体" w:eastAsia="宋体" w:cs="宋体"/>
          <w:spacing w:val="-1"/>
          <w:sz w:val="25"/>
          <w:szCs w:val="25"/>
        </w:rPr>
        <w:t xml:space="preserve"> </w:t>
      </w:r>
    </w:p>
    <w:p w14:paraId="54C70C13">
      <w:pPr>
        <w:spacing w:line="476"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eastAsia="zh-CN"/>
        </w:rPr>
        <w:t>附件</w:t>
      </w:r>
      <w:r>
        <w:rPr>
          <w:rFonts w:hint="eastAsia" w:asciiTheme="minorEastAsia" w:hAnsiTheme="minorEastAsia" w:eastAsiaTheme="minorEastAsia" w:cstheme="minorEastAsia"/>
          <w:sz w:val="22"/>
          <w:szCs w:val="22"/>
          <w:lang w:val="en-US" w:eastAsia="zh-CN"/>
        </w:rPr>
        <w:t>3</w:t>
      </w:r>
    </w:p>
    <w:p w14:paraId="585A5F5D">
      <w:pPr>
        <w:spacing w:before="137" w:line="219" w:lineRule="auto"/>
        <w:ind w:left="1962"/>
        <w:rPr>
          <w:rFonts w:ascii="宋体" w:hAnsi="宋体" w:eastAsia="宋体" w:cs="宋体"/>
          <w:sz w:val="42"/>
          <w:szCs w:val="42"/>
        </w:rPr>
      </w:pPr>
      <w:r>
        <w:rPr>
          <w:rFonts w:ascii="宋体" w:hAnsi="宋体" w:eastAsia="宋体" w:cs="宋体"/>
          <w:b/>
          <w:bCs/>
          <w:spacing w:val="-2"/>
          <w:sz w:val="42"/>
          <w:szCs w:val="42"/>
        </w:rPr>
        <w:t>NE</w:t>
      </w:r>
      <w:r>
        <w:rPr>
          <w:rFonts w:ascii="宋体" w:hAnsi="宋体" w:eastAsia="宋体" w:cs="宋体"/>
          <w:spacing w:val="-2"/>
          <w:sz w:val="42"/>
          <w:szCs w:val="42"/>
        </w:rPr>
        <w:t xml:space="preserve"> </w:t>
      </w:r>
      <w:r>
        <w:rPr>
          <w:rFonts w:ascii="宋体" w:hAnsi="宋体" w:eastAsia="宋体" w:cs="宋体"/>
          <w:b/>
          <w:bCs/>
          <w:spacing w:val="-2"/>
          <w:sz w:val="42"/>
          <w:szCs w:val="42"/>
        </w:rPr>
        <w:t>推荐施肥专家二维码</w:t>
      </w:r>
    </w:p>
    <w:p w14:paraId="2B511126">
      <w:pPr>
        <w:spacing w:before="62" w:line="4011" w:lineRule="exact"/>
        <w:ind w:firstLine="2056"/>
      </w:pPr>
      <w:r>
        <w:rPr>
          <w:position w:val="-80"/>
        </w:rPr>
        <w:drawing>
          <wp:inline distT="0" distB="0" distL="0" distR="0">
            <wp:extent cx="2710815" cy="254635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2"/>
                    <a:stretch>
                      <a:fillRect/>
                    </a:stretch>
                  </pic:blipFill>
                  <pic:spPr>
                    <a:xfrm>
                      <a:off x="0" y="0"/>
                      <a:ext cx="2711423" cy="2546419"/>
                    </a:xfrm>
                    <a:prstGeom prst="rect">
                      <a:avLst/>
                    </a:prstGeom>
                  </pic:spPr>
                </pic:pic>
              </a:graphicData>
            </a:graphic>
          </wp:inline>
        </w:drawing>
      </w:r>
    </w:p>
    <w:p w14:paraId="52D9AE89">
      <w:pPr>
        <w:spacing w:line="244" w:lineRule="auto"/>
        <w:rPr>
          <w:rFonts w:ascii="Arial"/>
          <w:sz w:val="21"/>
        </w:rPr>
      </w:pPr>
    </w:p>
    <w:p w14:paraId="29E819DA">
      <w:pPr>
        <w:spacing w:line="244" w:lineRule="auto"/>
        <w:rPr>
          <w:rFonts w:ascii="Arial"/>
          <w:sz w:val="21"/>
        </w:rPr>
      </w:pPr>
    </w:p>
    <w:p w14:paraId="6B99BCEF">
      <w:pPr>
        <w:spacing w:line="244" w:lineRule="auto"/>
        <w:rPr>
          <w:rFonts w:ascii="Arial"/>
          <w:sz w:val="21"/>
        </w:rPr>
      </w:pPr>
    </w:p>
    <w:p w14:paraId="34E9B9C4">
      <w:pPr>
        <w:spacing w:line="244" w:lineRule="auto"/>
        <w:rPr>
          <w:rFonts w:ascii="Arial"/>
          <w:sz w:val="21"/>
        </w:rPr>
      </w:pPr>
    </w:p>
    <w:p w14:paraId="7EF65026">
      <w:pPr>
        <w:spacing w:line="244" w:lineRule="auto"/>
        <w:rPr>
          <w:rFonts w:ascii="Arial"/>
          <w:sz w:val="21"/>
        </w:rPr>
      </w:pPr>
    </w:p>
    <w:p w14:paraId="649515DA">
      <w:pPr>
        <w:spacing w:line="244" w:lineRule="auto"/>
        <w:rPr>
          <w:rFonts w:ascii="Arial"/>
          <w:sz w:val="21"/>
        </w:rPr>
      </w:pPr>
    </w:p>
    <w:p w14:paraId="03EB3A1A">
      <w:pPr>
        <w:spacing w:line="244" w:lineRule="auto"/>
        <w:rPr>
          <w:rFonts w:ascii="Arial"/>
          <w:sz w:val="21"/>
        </w:rPr>
      </w:pPr>
    </w:p>
    <w:p w14:paraId="5B822F24">
      <w:pPr>
        <w:spacing w:line="244" w:lineRule="auto"/>
        <w:rPr>
          <w:rFonts w:ascii="Arial"/>
          <w:sz w:val="21"/>
        </w:rPr>
      </w:pPr>
    </w:p>
    <w:p w14:paraId="1383A05D">
      <w:pPr>
        <w:spacing w:line="244" w:lineRule="auto"/>
        <w:rPr>
          <w:rFonts w:ascii="Arial"/>
          <w:sz w:val="21"/>
        </w:rPr>
      </w:pPr>
    </w:p>
    <w:p w14:paraId="57589B18">
      <w:pPr>
        <w:spacing w:line="244" w:lineRule="auto"/>
        <w:rPr>
          <w:rFonts w:ascii="Arial"/>
          <w:sz w:val="21"/>
        </w:rPr>
      </w:pPr>
    </w:p>
    <w:p w14:paraId="2FD45F9D">
      <w:pPr>
        <w:spacing w:line="244" w:lineRule="auto"/>
        <w:rPr>
          <w:rFonts w:ascii="Arial"/>
          <w:sz w:val="21"/>
        </w:rPr>
      </w:pPr>
    </w:p>
    <w:p w14:paraId="48E326C7">
      <w:pPr>
        <w:spacing w:line="244" w:lineRule="auto"/>
        <w:rPr>
          <w:rFonts w:ascii="Arial"/>
          <w:sz w:val="21"/>
        </w:rPr>
      </w:pPr>
    </w:p>
    <w:p w14:paraId="5A45BFD4">
      <w:pPr>
        <w:spacing w:line="244" w:lineRule="auto"/>
        <w:rPr>
          <w:rFonts w:ascii="Arial"/>
          <w:sz w:val="21"/>
        </w:rPr>
      </w:pPr>
    </w:p>
    <w:p w14:paraId="025EB84A">
      <w:pPr>
        <w:spacing w:line="244" w:lineRule="auto"/>
        <w:rPr>
          <w:rFonts w:ascii="Arial"/>
          <w:sz w:val="21"/>
        </w:rPr>
      </w:pPr>
    </w:p>
    <w:p w14:paraId="4ECFCB4A">
      <w:pPr>
        <w:spacing w:line="244" w:lineRule="auto"/>
        <w:rPr>
          <w:rFonts w:ascii="Arial"/>
          <w:sz w:val="21"/>
        </w:rPr>
      </w:pPr>
    </w:p>
    <w:p w14:paraId="49B3BCB9">
      <w:pPr>
        <w:spacing w:line="244" w:lineRule="auto"/>
        <w:rPr>
          <w:rFonts w:ascii="Arial"/>
          <w:sz w:val="21"/>
        </w:rPr>
      </w:pPr>
    </w:p>
    <w:p w14:paraId="3E6D7FCD">
      <w:pPr>
        <w:spacing w:line="244" w:lineRule="auto"/>
        <w:rPr>
          <w:rFonts w:ascii="Arial"/>
          <w:sz w:val="21"/>
        </w:rPr>
      </w:pPr>
    </w:p>
    <w:p w14:paraId="0C1DBD7E">
      <w:pPr>
        <w:spacing w:line="244" w:lineRule="auto"/>
        <w:rPr>
          <w:rFonts w:ascii="Arial"/>
          <w:sz w:val="21"/>
        </w:rPr>
      </w:pPr>
    </w:p>
    <w:p w14:paraId="2A07F071">
      <w:pPr>
        <w:spacing w:line="244" w:lineRule="auto"/>
        <w:rPr>
          <w:rFonts w:ascii="Arial"/>
          <w:sz w:val="21"/>
        </w:rPr>
      </w:pPr>
    </w:p>
    <w:p w14:paraId="358ECDA7">
      <w:pPr>
        <w:spacing w:line="244" w:lineRule="auto"/>
        <w:rPr>
          <w:rFonts w:ascii="Arial"/>
          <w:sz w:val="21"/>
        </w:rPr>
      </w:pPr>
    </w:p>
    <w:p w14:paraId="1A08227C">
      <w:pPr>
        <w:spacing w:line="244" w:lineRule="auto"/>
        <w:rPr>
          <w:rFonts w:ascii="Arial"/>
          <w:sz w:val="21"/>
        </w:rPr>
      </w:pPr>
    </w:p>
    <w:p w14:paraId="318277F7">
      <w:pPr>
        <w:spacing w:line="245" w:lineRule="auto"/>
        <w:rPr>
          <w:rFonts w:ascii="Arial"/>
          <w:sz w:val="21"/>
        </w:rPr>
      </w:pPr>
    </w:p>
    <w:p w14:paraId="182CD557">
      <w:pPr>
        <w:spacing w:line="245" w:lineRule="auto"/>
        <w:rPr>
          <w:rFonts w:ascii="Arial"/>
          <w:sz w:val="21"/>
        </w:rPr>
      </w:pPr>
    </w:p>
    <w:p w14:paraId="5B2C000A">
      <w:pPr>
        <w:spacing w:line="245" w:lineRule="auto"/>
        <w:rPr>
          <w:rFonts w:ascii="Arial"/>
          <w:sz w:val="21"/>
        </w:rPr>
      </w:pPr>
    </w:p>
    <w:p w14:paraId="7A8FEF5C">
      <w:pPr>
        <w:spacing w:line="245" w:lineRule="auto"/>
        <w:rPr>
          <w:rFonts w:ascii="Arial"/>
          <w:sz w:val="21"/>
        </w:rPr>
      </w:pPr>
    </w:p>
    <w:p w14:paraId="0EDC96FF">
      <w:pPr>
        <w:pStyle w:val="3"/>
        <w:spacing w:before="104" w:line="222" w:lineRule="auto"/>
        <w:ind w:left="4180"/>
        <w:rPr>
          <w:sz w:val="32"/>
          <w:szCs w:val="32"/>
        </w:rPr>
      </w:pPr>
    </w:p>
    <w:p w14:paraId="435397F1">
      <w:pPr>
        <w:pStyle w:val="3"/>
        <w:spacing w:before="164" w:line="222" w:lineRule="auto"/>
        <w:rPr>
          <w:sz w:val="27"/>
          <w:szCs w:val="27"/>
        </w:rPr>
      </w:pPr>
    </w:p>
    <w:sectPr>
      <w:footerReference r:id="rId8" w:type="default"/>
      <w:pgSz w:w="11900" w:h="16840"/>
      <w:pgMar w:top="1431" w:right="408" w:bottom="780" w:left="1663" w:header="0" w:footer="18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ESI仿宋-GB2312">
    <w:altName w:val="仿宋"/>
    <w:panose1 w:val="02000500000000000000"/>
    <w:charset w:val="86"/>
    <w:family w:val="auto"/>
    <w:pitch w:val="default"/>
    <w:sig w:usb0="00000000" w:usb1="00000000" w:usb2="00000010" w:usb3="00000000" w:csb0="0004000F"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EFCD5">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EE4E2">
    <w:pPr>
      <w:spacing w:line="233" w:lineRule="auto"/>
      <w:ind w:left="484"/>
      <w:rPr>
        <w:rFonts w:ascii="宋体" w:hAnsi="宋体" w:eastAsia="宋体" w:cs="宋体"/>
        <w:sz w:val="29"/>
        <w:szCs w:val="29"/>
      </w:rPr>
    </w:pPr>
    <w:r>
      <w:rPr>
        <w:rFonts w:ascii="宋体" w:hAnsi="宋体" w:eastAsia="宋体" w:cs="宋体"/>
        <w:spacing w:val="-3"/>
        <w:sz w:val="29"/>
        <w:szCs w:val="29"/>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4A4FA">
    <w:pPr>
      <w:spacing w:line="14" w:lineRule="auto"/>
      <w:rPr>
        <w:rFonts w:ascii="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6562D">
    <w:pPr>
      <w:jc w:val="right"/>
      <w:rPr>
        <w:rFonts w:ascii="宋体" w:hAnsi="宋体" w:eastAsia="宋体" w:cs="宋体"/>
        <w:sz w:val="27"/>
        <w:szCs w:val="2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EE4643"/>
    <w:multiLevelType w:val="singleLevel"/>
    <w:tmpl w:val="EEEE4643"/>
    <w:lvl w:ilvl="0" w:tentative="0">
      <w:start w:val="1"/>
      <w:numFmt w:val="chineseCounting"/>
      <w:suff w:val="nothing"/>
      <w:lvlText w:val="（%1）"/>
      <w:lvlJc w:val="left"/>
      <w:rPr>
        <w:rFonts w:hint="eastAsia" w:ascii="楷体_GB2312" w:hAnsi="楷体_GB2312" w:eastAsia="楷体_GB2312" w:cs="楷体_GB2312"/>
      </w:rPr>
    </w:lvl>
  </w:abstractNum>
  <w:abstractNum w:abstractNumId="1">
    <w:nsid w:val="F5FEF035"/>
    <w:multiLevelType w:val="singleLevel"/>
    <w:tmpl w:val="F5FEF035"/>
    <w:lvl w:ilvl="0" w:tentative="0">
      <w:start w:val="1"/>
      <w:numFmt w:val="chineseCounting"/>
      <w:suff w:val="nothing"/>
      <w:lvlText w:val="%1、"/>
      <w:lvlJc w:val="left"/>
      <w:rPr>
        <w:rFonts w:hint="eastAsia" w:ascii="黑体" w:hAnsi="黑体" w:eastAsia="黑体" w:cs="黑体"/>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3EFD370"/>
    <w:rsid w:val="2DA71EE5"/>
    <w:rsid w:val="3BE7F42B"/>
    <w:rsid w:val="55FDA2C9"/>
    <w:rsid w:val="7A2270ED"/>
    <w:rsid w:val="E5F6F7C5"/>
    <w:rsid w:val="ED878631"/>
    <w:rsid w:val="F1FF3CB1"/>
    <w:rsid w:val="F2FF3C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1918</Words>
  <Characters>1963</Characters>
  <TotalTime>94</TotalTime>
  <ScaleCrop>false</ScaleCrop>
  <LinksUpToDate>false</LinksUpToDate>
  <CharactersWithSpaces>1973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2026-03-14T02:08:00Z</dcterms:created>
  <dc:creator>UNIS</dc:creator>
  <cp:lastModifiedBy>左边右边</cp:lastModifiedBy>
  <cp:lastPrinted>2026-03-30T00:58:42Z</cp:lastPrinted>
  <dcterms:modified xsi:type="dcterms:W3CDTF">2026-03-30T01:27:45Z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2026-03-13T10:08:28Z</vt:filetime>
  </property>
  <property fmtid="{D5CDD505-2E9C-101B-9397-08002B2CF9AE}" pid="4" name="UsrData">
    <vt:lpwstr>69b37198b06910001fa84d68wl</vt:lpwstr>
  </property>
  <property fmtid="{D5CDD505-2E9C-101B-9397-08002B2CF9AE}" pid="5" name="KSOProductBuildVer">
    <vt:lpwstr>2052-12.1.0.25225</vt:lpwstr>
  </property>
  <property fmtid="{D5CDD505-2E9C-101B-9397-08002B2CF9AE}" pid="6" name="ICV">
    <vt:lpwstr>843C5D4C62FF4EF48A26654CB4A4BE7D_13</vt:lpwstr>
  </property>
  <property fmtid="{D5CDD505-2E9C-101B-9397-08002B2CF9AE}" pid="7" name="KSOTemplateDocerSaveRecord">
    <vt:lpwstr>eyJoZGlkIjoiZTA3OGU5NmEwM2EyN2FkOGU2OGZlMDg3M2E0Y2E5Y2UiLCJ1c2VySWQiOiI0OTQ2NDc5MTkifQ==</vt:lpwstr>
  </property>
</Properties>
</file>